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5" w:rsidRDefault="004B3178" w:rsidP="00DC6A71">
      <w:pPr>
        <w:pStyle w:val="datumtevilka"/>
      </w:pPr>
      <w:r>
        <w:rPr>
          <w:noProof/>
        </w:rPr>
        <w:drawing>
          <wp:anchor distT="0" distB="0" distL="114300" distR="114300" simplePos="0" relativeHeight="251658240" behindDoc="0" locked="0" layoutInCell="1" allowOverlap="1" wp14:anchorId="63F1B0DC" wp14:editId="4A1AC3EF">
            <wp:simplePos x="0" y="0"/>
            <wp:positionH relativeFrom="column">
              <wp:posOffset>4519930</wp:posOffset>
            </wp:positionH>
            <wp:positionV relativeFrom="paragraph">
              <wp:posOffset>-2280285</wp:posOffset>
            </wp:positionV>
            <wp:extent cx="962025" cy="933450"/>
            <wp:effectExtent l="0" t="0" r="0" b="0"/>
            <wp:wrapNone/>
            <wp:docPr id="9"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pic:spPr>
                </pic:pic>
              </a:graphicData>
            </a:graphic>
            <wp14:sizeRelH relativeFrom="margin">
              <wp14:pctWidth>0</wp14:pctWidth>
            </wp14:sizeRelH>
            <wp14:sizeRelV relativeFrom="margin">
              <wp14:pctHeight>0</wp14:pctHeight>
            </wp14:sizeRelV>
          </wp:anchor>
        </w:drawing>
      </w:r>
      <w:r w:rsidR="000436B3">
        <w:rPr>
          <w:noProof/>
        </w:rPr>
        <w:drawing>
          <wp:anchor distT="0" distB="0" distL="114300" distR="114300" simplePos="0" relativeHeight="251657216" behindDoc="0" locked="0" layoutInCell="1" allowOverlap="1" wp14:anchorId="78EE0E27" wp14:editId="5FA1F99C">
            <wp:simplePos x="0" y="0"/>
            <wp:positionH relativeFrom="column">
              <wp:posOffset>3691890</wp:posOffset>
            </wp:positionH>
            <wp:positionV relativeFrom="paragraph">
              <wp:posOffset>-2280285</wp:posOffset>
            </wp:positionV>
            <wp:extent cx="933450" cy="933450"/>
            <wp:effectExtent l="0" t="0" r="0" b="0"/>
            <wp:wrapNone/>
            <wp:docPr id="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p>
    <w:p w:rsidR="008E4284" w:rsidRPr="000867A4" w:rsidRDefault="000436B3" w:rsidP="000867A4">
      <w:pPr>
        <w:pStyle w:val="Naslov"/>
        <w:jc w:val="center"/>
        <w:rPr>
          <w:rStyle w:val="Krepko"/>
        </w:rPr>
      </w:pPr>
      <w:bookmarkStart w:id="0" w:name="_Toc316298702"/>
      <w:r w:rsidRPr="000867A4">
        <w:rPr>
          <w:rStyle w:val="Krepko"/>
        </w:rPr>
        <w:t>Fund for Bilateral Relations at the National Level</w:t>
      </w:r>
    </w:p>
    <w:p w:rsidR="000867A4" w:rsidRPr="000867A4" w:rsidRDefault="000867A4" w:rsidP="000867A4">
      <w:pPr>
        <w:pStyle w:val="Naslov"/>
        <w:jc w:val="center"/>
        <w:rPr>
          <w:rStyle w:val="Krepko"/>
        </w:rPr>
      </w:pPr>
      <w:r w:rsidRPr="000867A4">
        <w:rPr>
          <w:rStyle w:val="Krepko"/>
        </w:rPr>
        <w:t>WORK PLAN</w:t>
      </w:r>
    </w:p>
    <w:bookmarkEnd w:id="0"/>
    <w:p w:rsidR="000436B3" w:rsidRDefault="000436B3" w:rsidP="000436B3">
      <w:pPr>
        <w:jc w:val="both"/>
        <w:rPr>
          <w:rFonts w:ascii="Calibri" w:hAnsi="Calibri" w:cs="Arial"/>
          <w:sz w:val="22"/>
          <w:szCs w:val="22"/>
        </w:rPr>
      </w:pPr>
      <w:r w:rsidRPr="00CF0924">
        <w:rPr>
          <w:rFonts w:ascii="Calibri" w:hAnsi="Calibri" w:cs="Arial"/>
          <w:sz w:val="22"/>
          <w:szCs w:val="22"/>
        </w:rPr>
        <w:t>In order to strengthen bilateral relations with Iceland, Liechtenstein and Norway - the three donor countries, Slovenia has set aside 0,5%, i.e. EUR 134.500 of total allocation of the European Economic Area (EEA) and Norway Grants 2009 – 2014.</w:t>
      </w:r>
    </w:p>
    <w:p w:rsidR="000867A4" w:rsidRDefault="000867A4" w:rsidP="000436B3">
      <w:pPr>
        <w:jc w:val="both"/>
        <w:rPr>
          <w:rFonts w:ascii="Calibri" w:hAnsi="Calibri" w:cs="Arial"/>
          <w:sz w:val="22"/>
          <w:szCs w:val="22"/>
        </w:rPr>
      </w:pPr>
    </w:p>
    <w:p w:rsidR="008E4284" w:rsidRPr="00CF0924" w:rsidRDefault="008E4284" w:rsidP="000436B3">
      <w:pPr>
        <w:jc w:val="both"/>
        <w:rPr>
          <w:rFonts w:ascii="Calibri" w:hAnsi="Calibri" w:cs="Arial"/>
          <w:sz w:val="22"/>
          <w:szCs w:val="22"/>
        </w:rPr>
      </w:pPr>
    </w:p>
    <w:p w:rsidR="000436B3" w:rsidRPr="008E4284" w:rsidRDefault="000436B3" w:rsidP="008E4284">
      <w:pPr>
        <w:pStyle w:val="Naslov"/>
      </w:pPr>
      <w:r w:rsidRPr="008E4284">
        <w:t>The existing bilateral relations between Republic of Slovenia and donor states</w:t>
      </w:r>
    </w:p>
    <w:p w:rsidR="000436B3" w:rsidRPr="004415B2" w:rsidRDefault="000436B3" w:rsidP="00153BCB">
      <w:pPr>
        <w:pStyle w:val="Naslov2"/>
      </w:pPr>
      <w:r w:rsidRPr="004415B2">
        <w:t>Norway</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Diplomatic relations between the Republic of Slovenia and the Kingdom of Norway were established on 18 February 1992. Since then the relationships between the two countries can be characterized as good and friendly. Countries cooperate successfully both at the bilateral and multilateral levels (NATO, OSCE, UN and the Human Security Network). </w:t>
      </w:r>
    </w:p>
    <w:p w:rsidR="004B3178" w:rsidRDefault="004B3178" w:rsidP="000436B3">
      <w:pPr>
        <w:spacing w:before="120" w:after="120" w:line="240" w:lineRule="auto"/>
        <w:jc w:val="both"/>
        <w:rPr>
          <w:rFonts w:ascii="Calibri" w:hAnsi="Calibri" w:cs="Calibri"/>
          <w:sz w:val="22"/>
          <w:szCs w:val="22"/>
        </w:rPr>
      </w:pPr>
      <w:r w:rsidRPr="004B3178">
        <w:rPr>
          <w:rFonts w:ascii="Calibri" w:hAnsi="Calibri" w:cs="Calibri"/>
          <w:sz w:val="22"/>
          <w:szCs w:val="22"/>
        </w:rPr>
        <w:t xml:space="preserve">Slovenia and Norway established good relations in the field of transport, education, sport, science, culture, health and national defense. There is a need to further strengthen political dialogue at the highest level which would also be a great follow-up to the visit of the Norwegian king in May 2011.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Close cooperation between two states developed especially in the framework of the Norwegian Financial Mechanism. During the period 2009-2014 Slovenia is entitled to a total of 26.9 million euros gross, namely 14.4 million euros from the Norwegian Financial Mechanism. The funds will be allocated through programs and will cover programme areas of decent work and tripartite dialogue, bilateral scholarship cooperation, Public health initiatives, gender equality and work life balance. The new programs represent a continuation and expansion of the collaboration (based on financial mechanisms 2004-09).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Scientific and technological cooperation between the Slovenian and the Norwegian researchers and scientific and research institutions is carried-out on the basis of direct contacts. In accordance with the great mutual interest of the scientific sphere the Republic of Slovenia is interested in concluding an adequate interstate document regarding the cooperation in the field of science and technology.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Cultural cooperation takes place on the basis of direct agreements between the cultural institutions and individuals and in the framework of the Norwegian financial mechanism. Slovenia committed funds from the Norwegian financial mechanism 2004 - 2009 to 21 projects, among which 9 projects related to the field of protecting the European cultural heritage. The Slovenian National Theatre Nova Gorica also cooperates with Norway.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Cooperation in the field of health is also well advanced. The Slovenian minister for health, Dorijan Marušič, in the framework of the working visit in Norway in November 2011, discussed </w:t>
      </w:r>
      <w:r w:rsidRPr="000436B3">
        <w:rPr>
          <w:rFonts w:ascii="Calibri" w:hAnsi="Calibri" w:cs="Calibri"/>
          <w:sz w:val="22"/>
          <w:szCs w:val="22"/>
        </w:rPr>
        <w:lastRenderedPageBreak/>
        <w:t xml:space="preserve">with the Norwegian minister for health, Anne-Grete Strøm-Erichsen, about the Slovenian </w:t>
      </w:r>
      <w:r w:rsidR="00CF0924" w:rsidRPr="000436B3">
        <w:rPr>
          <w:rFonts w:ascii="Calibri" w:hAnsi="Calibri" w:cs="Calibri"/>
          <w:sz w:val="22"/>
          <w:szCs w:val="22"/>
        </w:rPr>
        <w:t>endeavors</w:t>
      </w:r>
      <w:r w:rsidRPr="000436B3">
        <w:rPr>
          <w:rFonts w:ascii="Calibri" w:hAnsi="Calibri" w:cs="Calibri"/>
          <w:sz w:val="22"/>
          <w:szCs w:val="22"/>
        </w:rPr>
        <w:t xml:space="preserve"> in the field of reducing inequalities in health and the programming and preparation for the implementation of the Norwegian financial mechanism 2009–2014. The talks continued at the Norwegian National Institute for Public Health where the Norwegian colleagues presented the national programme for mental health and the new legislation in the field of public health (Public Health Act). The Institute is also the programming partner of Slovenia for the programme of the Norwegian financial mechanism 2009–2014, which includes two programme areas, namely preventive measures in health and gender equality. The Slovenian minister for health also visited the headquarters of the foundation De Norske Veritas for the accreditation of hospitals and talked about the process of accreditation in Slovenia and the possibility of cooperation in the future.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With the arrival of the Norwegian Ambassador Guru Katharine Helwig Vikřr to Ljubljana the relations between the Kingdom of Norway and the Republic of Slovenia began to strengthen intensively in the field of gender equality. Close cooperation took place mainly in the framework of the preparation of the Action Plan of the Republic of Slovenia for the implementation of the UN Security Council Resolutions 1325 and 1820 on women, peace and security in the period 2010–2015 and the preparation of the new Norwegian financial mechanism for the period 2009–2014.  As a continuation of established cooperation, Slovenia will receive 1,440,000 Euros from the Norwegian financial mechanism 2009 – 2014 for the implementation of projects and activities in the field of mainstreaming gender equality and promoting work-life balance. In the period before and after the signing of the Memorandum of Understanding (9 May 2011) numerous events took place in cooperation with the Norwegian Embassy in Slovenia, namely: </w:t>
      </w:r>
    </w:p>
    <w:p w:rsidR="000436B3" w:rsidRPr="000436B3" w:rsidRDefault="000436B3" w:rsidP="000436B3">
      <w:pPr>
        <w:numPr>
          <w:ilvl w:val="0"/>
          <w:numId w:val="13"/>
        </w:numPr>
        <w:autoSpaceDE w:val="0"/>
        <w:autoSpaceDN w:val="0"/>
        <w:adjustRightInd w:val="0"/>
        <w:spacing w:line="240" w:lineRule="auto"/>
        <w:ind w:left="714" w:hanging="357"/>
        <w:jc w:val="both"/>
        <w:rPr>
          <w:rFonts w:ascii="Calibri" w:hAnsi="Calibri" w:cs="Calibri"/>
          <w:color w:val="000000"/>
          <w:sz w:val="22"/>
          <w:szCs w:val="22"/>
        </w:rPr>
      </w:pPr>
      <w:r w:rsidRPr="000436B3">
        <w:rPr>
          <w:rFonts w:ascii="Calibri" w:hAnsi="Calibri" w:cs="Calibri"/>
          <w:color w:val="000000"/>
          <w:sz w:val="22"/>
          <w:szCs w:val="22"/>
        </w:rPr>
        <w:t xml:space="preserve">12 May 2010, Ljubljana: international conference “Gender equality in national legislation” the objective of which was to contribute to the discussion of the United Nations Human Rights Council regarding the new mechanism to promote gender equality in national legislation and its implementation.  </w:t>
      </w:r>
    </w:p>
    <w:p w:rsidR="000436B3" w:rsidRPr="000436B3" w:rsidRDefault="000436B3" w:rsidP="000436B3">
      <w:pPr>
        <w:numPr>
          <w:ilvl w:val="0"/>
          <w:numId w:val="13"/>
        </w:numPr>
        <w:autoSpaceDE w:val="0"/>
        <w:autoSpaceDN w:val="0"/>
        <w:adjustRightInd w:val="0"/>
        <w:spacing w:line="240" w:lineRule="auto"/>
        <w:ind w:left="714" w:hanging="357"/>
        <w:jc w:val="both"/>
        <w:rPr>
          <w:rFonts w:ascii="Calibri" w:hAnsi="Calibri" w:cs="Calibri"/>
          <w:color w:val="000000"/>
          <w:sz w:val="22"/>
          <w:szCs w:val="22"/>
        </w:rPr>
      </w:pPr>
      <w:r w:rsidRPr="000436B3">
        <w:rPr>
          <w:rFonts w:ascii="Calibri" w:hAnsi="Calibri" w:cs="Calibri"/>
          <w:color w:val="000000"/>
          <w:sz w:val="22"/>
          <w:szCs w:val="22"/>
        </w:rPr>
        <w:t xml:space="preserve">7 September 2011, Ljubljana: consultation “Women in decision-making positions” the objective of which was to present the state in the field of gender equality in decision-making positions in politics and the economy (at the local and national level) in Slovenia and Norway, to present the EEA financial mechanism (of Iceland, Liechtenstein and Norway) and the Norwegian financial mechanism for the period 2009–2014 with emphasizing gender equality and the already implemented Norwegian projects and best practices (at the local and national level) for an easier coordination of professional and family life. </w:t>
      </w:r>
    </w:p>
    <w:p w:rsidR="000436B3" w:rsidRPr="000436B3" w:rsidRDefault="000436B3" w:rsidP="000436B3">
      <w:pPr>
        <w:numPr>
          <w:ilvl w:val="0"/>
          <w:numId w:val="13"/>
        </w:numPr>
        <w:autoSpaceDE w:val="0"/>
        <w:autoSpaceDN w:val="0"/>
        <w:adjustRightInd w:val="0"/>
        <w:spacing w:line="240" w:lineRule="auto"/>
        <w:ind w:left="714" w:hanging="357"/>
        <w:jc w:val="both"/>
        <w:rPr>
          <w:rFonts w:ascii="Calibri" w:hAnsi="Calibri" w:cs="Calibri"/>
          <w:color w:val="000000"/>
          <w:sz w:val="22"/>
          <w:szCs w:val="22"/>
        </w:rPr>
      </w:pPr>
      <w:r w:rsidRPr="000436B3">
        <w:rPr>
          <w:rFonts w:ascii="Calibri" w:hAnsi="Calibri" w:cs="Calibri"/>
          <w:color w:val="000000"/>
          <w:sz w:val="22"/>
          <w:szCs w:val="22"/>
        </w:rPr>
        <w:t>12 October 2011, Semič: second meeting of women mayors with the participation of the Norwegian expert Liss Schanke, representative of the Norwegian association of local and regional authorities. She presented the Norwegian model cooperation of local communities to the mayors; she also talked about the projects in the field of gender equality at the local level, the possible project cooperation between Slovenia and Norway in the framework of the No</w:t>
      </w:r>
      <w:r w:rsidR="00CF0924">
        <w:rPr>
          <w:rFonts w:ascii="Calibri" w:hAnsi="Calibri" w:cs="Calibri"/>
          <w:color w:val="000000"/>
          <w:sz w:val="22"/>
          <w:szCs w:val="22"/>
        </w:rPr>
        <w:t>rwegian financial mechanisms.</w:t>
      </w:r>
    </w:p>
    <w:p w:rsidR="000436B3" w:rsidRPr="008E4284" w:rsidRDefault="000436B3" w:rsidP="00153BCB">
      <w:pPr>
        <w:pStyle w:val="Naslov2"/>
      </w:pPr>
      <w:r w:rsidRPr="008E4284">
        <w:t>Iceland</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Bilateral relations between Slovenia and Iceland are very good and friendly. History of great relations between the two states go back to 1991, when Iceland and Germany were the first Western European countries to officially recognize Slovenia's independence on 19 December. Slovenia strongly supports Iceland’s current efforts to join the European Union (EU) and is prepared to share its experience with regard to negotiations for membership and the functioning of the Union.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lastRenderedPageBreak/>
        <w:t xml:space="preserve">Joint participation of the two countries on third markets as well as areas such as information technology, creative industries, environmental and energy technologies, pharmaceuticals and the financial sector are being set forward as potential fields of cooperation between the two countries. </w:t>
      </w:r>
    </w:p>
    <w:p w:rsidR="000436B3" w:rsidRDefault="000436B3" w:rsidP="000436B3">
      <w:pPr>
        <w:spacing w:line="260" w:lineRule="atLeast"/>
        <w:jc w:val="both"/>
        <w:rPr>
          <w:rFonts w:ascii="Calibri" w:hAnsi="Calibri" w:cs="Calibri"/>
          <w:sz w:val="22"/>
          <w:szCs w:val="22"/>
        </w:rPr>
      </w:pPr>
      <w:r w:rsidRPr="000436B3">
        <w:rPr>
          <w:rFonts w:ascii="Calibri" w:hAnsi="Calibri" w:cs="Calibri"/>
          <w:sz w:val="22"/>
          <w:szCs w:val="22"/>
        </w:rPr>
        <w:t xml:space="preserve">During the Slovenian’s President Türk state visit to the Republic of Iceland in May 2011, an agreement worth EUR 700,000 was signed between the Slovenian company Duol and the Municipality of Hveragerði for the construction of a 5,000 square </w:t>
      </w:r>
      <w:r w:rsidR="00CF0924" w:rsidRPr="000436B3">
        <w:rPr>
          <w:rFonts w:ascii="Calibri" w:hAnsi="Calibri" w:cs="Calibri"/>
          <w:sz w:val="22"/>
          <w:szCs w:val="22"/>
        </w:rPr>
        <w:t>meter</w:t>
      </w:r>
      <w:r w:rsidR="00CF0924">
        <w:rPr>
          <w:rFonts w:ascii="Calibri" w:hAnsi="Calibri" w:cs="Calibri"/>
          <w:sz w:val="22"/>
          <w:szCs w:val="22"/>
        </w:rPr>
        <w:t>s</w:t>
      </w:r>
      <w:r w:rsidRPr="000436B3">
        <w:rPr>
          <w:rFonts w:ascii="Calibri" w:hAnsi="Calibri" w:cs="Calibri"/>
          <w:sz w:val="22"/>
          <w:szCs w:val="22"/>
        </w:rPr>
        <w:t xml:space="preserve"> hall in Hveragerði that will be heated by geothermal energy. In parallel, the Slovenian company Geoeks and the Icelandic company Mannvit signed an agreement of cooperation in the construction of the first geothermal energy plant in Slovenia, to be erected in Dobrovnik.</w:t>
      </w:r>
    </w:p>
    <w:p w:rsidR="000436B3" w:rsidRPr="008E4284" w:rsidRDefault="000436B3" w:rsidP="00153BCB">
      <w:pPr>
        <w:pStyle w:val="Naslov2"/>
      </w:pPr>
      <w:r w:rsidRPr="008E4284">
        <w:t>Liechtenstein</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Bi lateral relations between Slovenia and Liechtenstein are good; however, not intensive. Apart from the positive bilateral and multilateral cooperation, the two countries pursue to enhance economic cooperation, particularly in the pharmaceutical industry, </w:t>
      </w:r>
      <w:r w:rsidR="00CF0924" w:rsidRPr="000436B3">
        <w:rPr>
          <w:rFonts w:ascii="Calibri" w:hAnsi="Calibri" w:cs="Calibri"/>
          <w:sz w:val="22"/>
          <w:szCs w:val="22"/>
        </w:rPr>
        <w:t>electro</w:t>
      </w:r>
      <w:r w:rsidR="004B3178">
        <w:rPr>
          <w:rFonts w:ascii="Calibri" w:hAnsi="Calibri" w:cs="Calibri"/>
          <w:sz w:val="22"/>
          <w:szCs w:val="22"/>
        </w:rPr>
        <w:t>-</w:t>
      </w:r>
      <w:r w:rsidR="00CF0924" w:rsidRPr="000436B3">
        <w:rPr>
          <w:rFonts w:ascii="Calibri" w:hAnsi="Calibri" w:cs="Calibri"/>
          <w:sz w:val="22"/>
          <w:szCs w:val="22"/>
        </w:rPr>
        <w:t>technology</w:t>
      </w:r>
      <w:r w:rsidRPr="000436B3">
        <w:rPr>
          <w:rFonts w:ascii="Calibri" w:hAnsi="Calibri" w:cs="Calibri"/>
          <w:sz w:val="22"/>
          <w:szCs w:val="22"/>
        </w:rPr>
        <w:t xml:space="preserve"> and metallurgical industry. Slovenia and Liechtenstein also expressed interest in enhancing the existing cooperation within the Quadrilaterale, which also includes Switzerland and Austria. </w:t>
      </w:r>
    </w:p>
    <w:p w:rsidR="000436B3" w:rsidRPr="000436B3" w:rsidRDefault="000436B3" w:rsidP="000436B3">
      <w:pPr>
        <w:pStyle w:val="Navadensplet"/>
        <w:spacing w:before="120" w:after="120"/>
        <w:jc w:val="both"/>
        <w:rPr>
          <w:rFonts w:ascii="Calibri" w:hAnsi="Calibri" w:cs="Calibri"/>
          <w:sz w:val="22"/>
          <w:szCs w:val="22"/>
          <w:lang w:val="en-US"/>
        </w:rPr>
      </w:pPr>
      <w:r w:rsidRPr="000436B3">
        <w:rPr>
          <w:rFonts w:ascii="Calibri" w:hAnsi="Calibri" w:cs="Calibri"/>
          <w:sz w:val="22"/>
          <w:szCs w:val="22"/>
          <w:lang w:val="en-US"/>
        </w:rPr>
        <w:t>60 Slovenia citizens live in Liechtenstein and approximately another 60 residents are of Slovenian descent. They associate in the framework of the Associations of Slovenes in the Principality of Liechtenstein which has again begun to cooperate more closely with the Slovenian associations in Switzerland and the Slovenian association in Predarlska. Remedial classes of the Slovenian language, which are carried-out by the Slovenian professors from Switzerland, are visited by 15 children and adults in Eschen. The Embassy regularly organis</w:t>
      </w:r>
      <w:r w:rsidR="00CF0924">
        <w:rPr>
          <w:rFonts w:ascii="Calibri" w:hAnsi="Calibri" w:cs="Calibri"/>
          <w:sz w:val="22"/>
          <w:szCs w:val="22"/>
          <w:lang w:val="en-US"/>
        </w:rPr>
        <w:t>es consultation days in Schaan.</w:t>
      </w:r>
    </w:p>
    <w:p w:rsidR="000436B3" w:rsidRDefault="000436B3" w:rsidP="000436B3">
      <w:pPr>
        <w:pStyle w:val="Navadensplet"/>
        <w:spacing w:before="120" w:after="120"/>
        <w:jc w:val="both"/>
        <w:rPr>
          <w:rFonts w:ascii="Calibri" w:hAnsi="Calibri" w:cs="Calibri"/>
          <w:sz w:val="22"/>
          <w:szCs w:val="22"/>
          <w:lang w:val="en-US"/>
        </w:rPr>
      </w:pPr>
      <w:r w:rsidRPr="000436B3">
        <w:rPr>
          <w:rFonts w:ascii="Calibri" w:hAnsi="Calibri" w:cs="Calibri"/>
          <w:sz w:val="22"/>
          <w:szCs w:val="22"/>
          <w:lang w:val="en-US"/>
        </w:rPr>
        <w:t>During the period 2009-2014 Slovenia is entitled to a total of 26.9 million euros gross, namely 12.5 million from the EEA Financial Mechanism. The funds will be allocated through programs and will cover programme areas of Biodiversity and Ecosystem Services</w:t>
      </w:r>
      <w:r w:rsidRPr="003B6A09">
        <w:rPr>
          <w:lang w:val="en-US"/>
        </w:rPr>
        <w:t xml:space="preserve"> </w:t>
      </w:r>
      <w:r w:rsidRPr="000436B3">
        <w:rPr>
          <w:rFonts w:ascii="Calibri" w:hAnsi="Calibri" w:cs="Calibri"/>
          <w:sz w:val="22"/>
          <w:szCs w:val="22"/>
          <w:lang w:val="en-US"/>
        </w:rPr>
        <w:t xml:space="preserve">Environmental Monitoring and Integrated Planning and Control, Funds for Non‐governmental Organisations, Conservation and Revitalisation of Cultural and Natural Heritage and Scholarships. The new programs represent a continuation and expansion of the collaboration (based on financial mechanisms 2004-09). </w:t>
      </w:r>
    </w:p>
    <w:p w:rsidR="000436B3" w:rsidRPr="008E4284" w:rsidRDefault="000436B3" w:rsidP="008E4284">
      <w:pPr>
        <w:pStyle w:val="Naslov"/>
      </w:pPr>
      <w:r w:rsidRPr="008E4284">
        <w:t xml:space="preserve">Achievements in respect of bilateral cooperation under the EEA Grants 2004-09 </w:t>
      </w:r>
    </w:p>
    <w:p w:rsidR="000436B3" w:rsidRPr="00CF0924" w:rsidRDefault="000436B3" w:rsidP="000436B3">
      <w:pPr>
        <w:ind w:left="-65"/>
        <w:jc w:val="both"/>
        <w:rPr>
          <w:rFonts w:ascii="Calibri" w:hAnsi="Calibri" w:cs="Arial"/>
          <w:sz w:val="22"/>
          <w:szCs w:val="22"/>
        </w:rPr>
      </w:pPr>
      <w:r w:rsidRPr="00CF0924">
        <w:rPr>
          <w:rFonts w:ascii="Calibri" w:hAnsi="Calibri" w:cs="Arial"/>
          <w:sz w:val="22"/>
          <w:szCs w:val="22"/>
        </w:rPr>
        <w:t xml:space="preserve">In the previous financial period 2004 – 2009, the Norwegian Embassy in Slovenia played a very important role in the strengthening of bilateral relations between Republic of Slovenia and donor states and promotion of the EEA and Norway grants in Slovenia by actively participating in almost every event related to the Financial Memorandums (signing contracts with project promoters, workshops for potential applicants, opening and closing ceremonies, annual meetings, other meetings, site visits etc.). The NFP sincerely regrets the closing of the Embassy in Ljubljana and will aspire to maintain fruitful and cooperative relations with the Norwegian Embassy in Budapest in the future.  </w:t>
      </w:r>
    </w:p>
    <w:p w:rsidR="000436B3" w:rsidRDefault="000436B3" w:rsidP="000436B3">
      <w:pPr>
        <w:ind w:left="-65"/>
        <w:jc w:val="both"/>
        <w:rPr>
          <w:rFonts w:ascii="Calibri" w:hAnsi="Calibri" w:cs="Arial"/>
          <w:sz w:val="22"/>
          <w:szCs w:val="22"/>
        </w:rPr>
      </w:pPr>
      <w:r w:rsidRPr="00CF0924">
        <w:rPr>
          <w:rFonts w:ascii="Calibri" w:hAnsi="Calibri" w:cs="Arial"/>
          <w:sz w:val="22"/>
          <w:szCs w:val="22"/>
        </w:rPr>
        <w:t xml:space="preserve">The implementation of the selected individual projects within EEA and Norway grants 2004 – 2009 enhanced cooperation between Norway and the Republic of Slovenia. Within almost one fourth of the individual projects official partnership agreements with Norwegian partners were concluded in the fields of Conservation of European cultural heritage, Promotion of sustainable development and Health and childcare. </w:t>
      </w:r>
    </w:p>
    <w:p w:rsidR="001E3FD9" w:rsidRPr="00CF0924" w:rsidRDefault="001E3FD9" w:rsidP="000436B3">
      <w:pPr>
        <w:ind w:left="-65"/>
        <w:jc w:val="both"/>
        <w:rPr>
          <w:rFonts w:ascii="Calibri" w:hAnsi="Calibri"/>
          <w:sz w:val="22"/>
          <w:szCs w:val="22"/>
        </w:rPr>
      </w:pPr>
    </w:p>
    <w:p w:rsidR="000436B3" w:rsidRPr="00CF0924" w:rsidRDefault="000436B3" w:rsidP="000436B3">
      <w:pPr>
        <w:tabs>
          <w:tab w:val="left" w:pos="3828"/>
        </w:tabs>
        <w:ind w:left="-65"/>
        <w:jc w:val="both"/>
        <w:rPr>
          <w:rFonts w:ascii="Calibri" w:hAnsi="Calibri"/>
          <w:sz w:val="22"/>
          <w:szCs w:val="22"/>
        </w:rPr>
      </w:pPr>
      <w:r w:rsidRPr="00CF0924">
        <w:rPr>
          <w:rFonts w:ascii="Calibri" w:hAnsi="Calibri" w:cs="Arial"/>
          <w:sz w:val="22"/>
          <w:szCs w:val="22"/>
        </w:rPr>
        <w:t xml:space="preserve">The implementation of the selected NGO Fund projects also significantly enhanced cooperation between the donor states and the Republic of Slovenia. </w:t>
      </w:r>
      <w:r w:rsidRPr="00CF0924">
        <w:rPr>
          <w:rFonts w:ascii="Calibri" w:hAnsi="Calibri"/>
          <w:sz w:val="22"/>
          <w:szCs w:val="22"/>
        </w:rPr>
        <w:t>The NGO Fund ensured a very high level of bilateral cooperation as 15 out of 40 co-financed projects were implemented in partnership with organisations from the donor states. In the field of environment and sustainable development, the co-financed project aimed at accelerating the implementation of the Action Plan for the Development of Organic Farming in Slovenia with active involvement of the Norwegian expert when developing the Strategy for introducing ecological food in public kitchens. In the field of human resources, the resettlement model for homeless people was developed. The project was about the transfer and adaptation of the Norwegian model to Slovenia. The project has significantly influenced the policy making in Slovenia. The project on cultural heritage conservation should be pointed out in particular. The network of eco museums was established, which included the transfer of knowledge from the Norwegian partner. In addition to this a round table was organised and networking with eco museums in Norway was established. In the field of health and childcare, the implemented project was aimed at raising awareness of childbearing women about their rights, based on the introduction of the Norwegian experience.</w:t>
      </w:r>
    </w:p>
    <w:p w:rsidR="000436B3" w:rsidRPr="00CF0924" w:rsidRDefault="000436B3" w:rsidP="000436B3">
      <w:pPr>
        <w:tabs>
          <w:tab w:val="left" w:pos="3828"/>
        </w:tabs>
        <w:ind w:left="-62"/>
        <w:jc w:val="both"/>
        <w:rPr>
          <w:rFonts w:ascii="Calibri" w:hAnsi="Calibri"/>
          <w:sz w:val="22"/>
          <w:szCs w:val="22"/>
        </w:rPr>
      </w:pPr>
      <w:r w:rsidRPr="00CF0924">
        <w:rPr>
          <w:rFonts w:ascii="Calibri" w:hAnsi="Calibri"/>
          <w:sz w:val="22"/>
          <w:szCs w:val="22"/>
        </w:rPr>
        <w:t xml:space="preserve">The Slovenian Scholarship Fund 2004 – 2009 with its 124 sub-projects significantly contributed to the strengthening of relations between participating countries, especially Slovenia and Norway, which hosted the most participants from Slovenia. Participants in mobilities from both sides had several opportunities: </w:t>
      </w:r>
    </w:p>
    <w:p w:rsidR="000436B3" w:rsidRPr="00CF0924" w:rsidRDefault="000436B3" w:rsidP="000436B3">
      <w:pPr>
        <w:pStyle w:val="Odstavekseznama"/>
        <w:numPr>
          <w:ilvl w:val="0"/>
          <w:numId w:val="19"/>
        </w:numPr>
        <w:spacing w:line="276" w:lineRule="auto"/>
        <w:contextualSpacing/>
        <w:jc w:val="both"/>
        <w:rPr>
          <w:rFonts w:ascii="Calibri" w:hAnsi="Calibri"/>
          <w:sz w:val="22"/>
          <w:szCs w:val="22"/>
        </w:rPr>
      </w:pPr>
      <w:r w:rsidRPr="00CF0924">
        <w:rPr>
          <w:rFonts w:ascii="Calibri" w:hAnsi="Calibri"/>
          <w:sz w:val="22"/>
          <w:szCs w:val="22"/>
        </w:rPr>
        <w:t>better knowledge of the involved countries, cultures and institutions,</w:t>
      </w:r>
    </w:p>
    <w:p w:rsidR="000436B3" w:rsidRPr="00CF0924" w:rsidRDefault="000436B3" w:rsidP="000436B3">
      <w:pPr>
        <w:pStyle w:val="Odstavekseznama"/>
        <w:numPr>
          <w:ilvl w:val="0"/>
          <w:numId w:val="19"/>
        </w:numPr>
        <w:spacing w:line="276" w:lineRule="auto"/>
        <w:contextualSpacing/>
        <w:jc w:val="both"/>
        <w:rPr>
          <w:rFonts w:ascii="Calibri" w:hAnsi="Calibri"/>
          <w:sz w:val="22"/>
          <w:szCs w:val="22"/>
        </w:rPr>
      </w:pPr>
      <w:r w:rsidRPr="00CF0924">
        <w:rPr>
          <w:rFonts w:ascii="Calibri" w:hAnsi="Calibri"/>
          <w:sz w:val="22"/>
          <w:szCs w:val="22"/>
        </w:rPr>
        <w:t>exchange of knowledge, experience, good practices,</w:t>
      </w:r>
    </w:p>
    <w:p w:rsidR="000436B3" w:rsidRPr="00CF0924" w:rsidRDefault="000436B3" w:rsidP="000436B3">
      <w:pPr>
        <w:pStyle w:val="Odstavekseznama"/>
        <w:numPr>
          <w:ilvl w:val="0"/>
          <w:numId w:val="19"/>
        </w:numPr>
        <w:spacing w:line="276" w:lineRule="auto"/>
        <w:contextualSpacing/>
        <w:jc w:val="both"/>
        <w:rPr>
          <w:rFonts w:ascii="Calibri" w:hAnsi="Calibri"/>
          <w:sz w:val="22"/>
          <w:szCs w:val="22"/>
        </w:rPr>
      </w:pPr>
      <w:r w:rsidRPr="00CF0924">
        <w:rPr>
          <w:rFonts w:ascii="Calibri" w:hAnsi="Calibri"/>
          <w:sz w:val="22"/>
          <w:szCs w:val="22"/>
        </w:rPr>
        <w:t>partnerships for future projects.</w:t>
      </w:r>
    </w:p>
    <w:p w:rsidR="000436B3" w:rsidRPr="00CF0924" w:rsidRDefault="000436B3" w:rsidP="000436B3">
      <w:pPr>
        <w:jc w:val="both"/>
        <w:rPr>
          <w:rFonts w:ascii="Calibri" w:hAnsi="Calibri"/>
          <w:sz w:val="22"/>
          <w:szCs w:val="22"/>
        </w:rPr>
      </w:pPr>
    </w:p>
    <w:p w:rsidR="000436B3" w:rsidRDefault="000436B3" w:rsidP="000436B3">
      <w:pPr>
        <w:jc w:val="both"/>
        <w:rPr>
          <w:rFonts w:ascii="Calibri" w:hAnsi="Calibri"/>
          <w:sz w:val="22"/>
          <w:szCs w:val="22"/>
        </w:rPr>
      </w:pPr>
      <w:r w:rsidRPr="00CF0924">
        <w:rPr>
          <w:rFonts w:ascii="Calibri" w:hAnsi="Calibri"/>
          <w:sz w:val="22"/>
          <w:szCs w:val="22"/>
        </w:rPr>
        <w:t>The main added value of bilateral cooperation is the transfer of knowledge and also the bilateral promotion is a basis for cooperation in the future. Experiences and best practices regarding cultural heritage, voluntary work, rehabilitation of drug addicts, homeless, development of social skills, and people with special needs were exchanged. Last but not least, several democratic principles such as human rights and public participation in policy making were introduced.</w:t>
      </w:r>
    </w:p>
    <w:p w:rsidR="00CE2C6E" w:rsidRPr="00CF0924" w:rsidRDefault="00CE2C6E" w:rsidP="000436B3">
      <w:pPr>
        <w:jc w:val="both"/>
        <w:rPr>
          <w:rFonts w:ascii="Calibri" w:hAnsi="Calibri"/>
          <w:sz w:val="22"/>
          <w:szCs w:val="22"/>
        </w:rPr>
      </w:pPr>
    </w:p>
    <w:p w:rsidR="000436B3" w:rsidRPr="000436B3" w:rsidRDefault="000436B3" w:rsidP="008E4284">
      <w:pPr>
        <w:pStyle w:val="Naslov"/>
      </w:pPr>
      <w:r w:rsidRPr="000436B3">
        <w:t xml:space="preserve">Objective </w:t>
      </w:r>
      <w:r w:rsidR="00CE2C6E">
        <w:t>of the Fund for bilateral relations at national level in Slovenia</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Looking at the history of co-operation the most valuable approach would be concentrating on further cooperation in the field of mainstreaming gender equality and health issues with the main aim of enhancing the existing bilateral cooperation. This can be done most efficiently by sharing best practices between as many counterparts as possible.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As a result of negotiations with the donors, the Financial Mechanism Office, the Norwegian Embassy in Budapest, the main areas for enhancing bilateral co-operation at national level have been identified as follows:</w:t>
      </w:r>
    </w:p>
    <w:p w:rsidR="000436B3" w:rsidRPr="000436B3" w:rsidRDefault="000436B3" w:rsidP="000436B3">
      <w:pPr>
        <w:pStyle w:val="Odstavekseznama"/>
        <w:numPr>
          <w:ilvl w:val="0"/>
          <w:numId w:val="9"/>
        </w:numPr>
        <w:spacing w:line="240" w:lineRule="auto"/>
        <w:contextualSpacing/>
        <w:jc w:val="both"/>
        <w:rPr>
          <w:rFonts w:ascii="Calibri" w:hAnsi="Calibri" w:cs="Calibri"/>
          <w:sz w:val="22"/>
          <w:szCs w:val="22"/>
        </w:rPr>
      </w:pPr>
      <w:r w:rsidRPr="000436B3">
        <w:rPr>
          <w:rFonts w:ascii="Calibri" w:hAnsi="Calibri" w:cs="Calibri"/>
          <w:sz w:val="22"/>
          <w:szCs w:val="22"/>
        </w:rPr>
        <w:t>health inequalities and telemedicine</w:t>
      </w:r>
    </w:p>
    <w:p w:rsidR="000436B3" w:rsidRDefault="000436B3" w:rsidP="000436B3">
      <w:pPr>
        <w:pStyle w:val="Odstavekseznama"/>
        <w:numPr>
          <w:ilvl w:val="0"/>
          <w:numId w:val="9"/>
        </w:numPr>
        <w:spacing w:line="240" w:lineRule="auto"/>
        <w:contextualSpacing/>
        <w:jc w:val="both"/>
        <w:rPr>
          <w:rFonts w:ascii="Calibri" w:hAnsi="Calibri" w:cs="Calibri"/>
          <w:sz w:val="22"/>
          <w:szCs w:val="22"/>
        </w:rPr>
      </w:pPr>
      <w:r w:rsidRPr="000436B3">
        <w:rPr>
          <w:rFonts w:ascii="Calibri" w:hAnsi="Calibri" w:cs="Calibri"/>
          <w:sz w:val="22"/>
          <w:szCs w:val="22"/>
        </w:rPr>
        <w:t>gender equalit</w:t>
      </w:r>
      <w:r w:rsidR="004B3178">
        <w:rPr>
          <w:rFonts w:ascii="Calibri" w:hAnsi="Calibri" w:cs="Calibri"/>
          <w:sz w:val="22"/>
          <w:szCs w:val="22"/>
        </w:rPr>
        <w:t>y</w:t>
      </w:r>
    </w:p>
    <w:p w:rsidR="002B5F6E" w:rsidRPr="000436B3" w:rsidRDefault="002057F2" w:rsidP="002B5F6E">
      <w:pPr>
        <w:pStyle w:val="Odstavekseznama"/>
        <w:numPr>
          <w:ilvl w:val="0"/>
          <w:numId w:val="9"/>
        </w:numPr>
        <w:spacing w:line="240" w:lineRule="auto"/>
        <w:contextualSpacing/>
        <w:jc w:val="both"/>
        <w:rPr>
          <w:rFonts w:ascii="Calibri" w:hAnsi="Calibri" w:cs="Calibri"/>
          <w:sz w:val="22"/>
          <w:szCs w:val="22"/>
        </w:rPr>
      </w:pPr>
      <w:r>
        <w:rPr>
          <w:rFonts w:ascii="Calibri" w:hAnsi="Calibri" w:cs="Calibri"/>
          <w:sz w:val="22"/>
          <w:szCs w:val="22"/>
        </w:rPr>
        <w:t>e</w:t>
      </w:r>
      <w:r w:rsidRPr="002B5F6E">
        <w:rPr>
          <w:rFonts w:ascii="Calibri" w:hAnsi="Calibri" w:cs="Calibri"/>
          <w:sz w:val="22"/>
          <w:szCs w:val="22"/>
        </w:rPr>
        <w:t xml:space="preserve">xperiences </w:t>
      </w:r>
      <w:r w:rsidR="002B5F6E" w:rsidRPr="002B5F6E">
        <w:rPr>
          <w:rFonts w:ascii="Calibri" w:hAnsi="Calibri" w:cs="Calibri"/>
          <w:sz w:val="22"/>
          <w:szCs w:val="22"/>
        </w:rPr>
        <w:t>in the past and future European integration</w:t>
      </w:r>
      <w:r w:rsidR="002B5F6E">
        <w:rPr>
          <w:rFonts w:ascii="Calibri" w:hAnsi="Calibri" w:cs="Calibri"/>
          <w:sz w:val="22"/>
          <w:szCs w:val="22"/>
        </w:rPr>
        <w:t>.</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In order to evaluate the achieved results, regular qualitative analysis will be made. For that the Focal Point will elaborate questionnaires that will be sent to the participants of the events right after the event and in order to assess wider effects and long-term impact, different questionnaires will be sent at a later stage as well. </w:t>
      </w:r>
    </w:p>
    <w:p w:rsidR="000436B3" w:rsidRPr="004415B2" w:rsidRDefault="000436B3" w:rsidP="00CE2C6E">
      <w:pPr>
        <w:pStyle w:val="Naslov"/>
      </w:pPr>
      <w:r w:rsidRPr="004415B2">
        <w:lastRenderedPageBreak/>
        <w:t>Main principles of implementation</w:t>
      </w:r>
    </w:p>
    <w:p w:rsidR="000436B3" w:rsidRPr="000436B3" w:rsidRDefault="000436B3" w:rsidP="00153BCB">
      <w:pPr>
        <w:pStyle w:val="Naslov2"/>
        <w:numPr>
          <w:ilvl w:val="0"/>
          <w:numId w:val="44"/>
        </w:numPr>
      </w:pPr>
      <w:r w:rsidRPr="000436B3">
        <w:t>Before the approval of the Programmes</w:t>
      </w:r>
    </w:p>
    <w:p w:rsidR="002B5F6E"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 xml:space="preserve">In order to initiate bilateral relations right from the beginning in the programme areas agreed in the Memoranda of understanding and to give a good starting point for the Programme Operators and National Focal Point to develop such relations further different activities have been financed from the national level bilateral fund already during the preparation of the programme proposals, especially attending meetings and seminars, organized by the FMO for National Focal Points and meetings/study trips to Norway to learn from local experience and co-ordinate programming of the SI02 and SI05 programmes with Programme/pre-defined project partners. </w:t>
      </w:r>
      <w:r w:rsidR="001E3FD9">
        <w:rPr>
          <w:rFonts w:ascii="Calibri" w:hAnsi="Calibri" w:cs="Calibri"/>
          <w:sz w:val="22"/>
          <w:szCs w:val="22"/>
        </w:rPr>
        <w:t>Details on already implemented activities under Priority 1</w:t>
      </w:r>
      <w:r w:rsidR="001E3FD9" w:rsidRPr="001E3FD9">
        <w:t xml:space="preserve"> </w:t>
      </w:r>
      <w:r w:rsidR="00CE2C6E">
        <w:rPr>
          <w:rFonts w:ascii="Calibri" w:hAnsi="Calibri" w:cs="Calibri"/>
          <w:sz w:val="22"/>
          <w:szCs w:val="22"/>
        </w:rPr>
        <w:t>“</w:t>
      </w:r>
      <w:r w:rsidR="001E3FD9" w:rsidRPr="00CE2C6E">
        <w:rPr>
          <w:rFonts w:ascii="Calibri" w:hAnsi="Calibri" w:cs="Calibri"/>
          <w:i/>
          <w:sz w:val="22"/>
          <w:szCs w:val="22"/>
        </w:rPr>
        <w:t>Preparing bilateral aspects of the programmes in the preparation phase (2011 and 2012)</w:t>
      </w:r>
      <w:r w:rsidR="00CE2C6E">
        <w:rPr>
          <w:rFonts w:ascii="Calibri" w:hAnsi="Calibri" w:cs="Calibri"/>
          <w:sz w:val="22"/>
          <w:szCs w:val="22"/>
        </w:rPr>
        <w:t>” are presented in Annex III</w:t>
      </w:r>
      <w:r w:rsidR="001E3FD9">
        <w:rPr>
          <w:rFonts w:ascii="Calibri" w:hAnsi="Calibri" w:cs="Calibri"/>
          <w:sz w:val="22"/>
          <w:szCs w:val="22"/>
        </w:rPr>
        <w:t>.</w:t>
      </w:r>
    </w:p>
    <w:p w:rsidR="000436B3" w:rsidRPr="00CE2C6E" w:rsidRDefault="000436B3" w:rsidP="00153BCB">
      <w:pPr>
        <w:pStyle w:val="Naslov2"/>
        <w:numPr>
          <w:ilvl w:val="0"/>
          <w:numId w:val="44"/>
        </w:numPr>
      </w:pPr>
      <w:r w:rsidRPr="00CE2C6E">
        <w:t>After the approval of the Programmes</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After the programmes’ approval</w:t>
      </w:r>
      <w:r w:rsidR="001E3FD9">
        <w:rPr>
          <w:rFonts w:ascii="Calibri" w:hAnsi="Calibri" w:cs="Calibri"/>
          <w:sz w:val="22"/>
          <w:szCs w:val="22"/>
        </w:rPr>
        <w:t>,</w:t>
      </w:r>
      <w:r w:rsidRPr="000436B3">
        <w:rPr>
          <w:rFonts w:ascii="Calibri" w:hAnsi="Calibri" w:cs="Calibri"/>
          <w:sz w:val="22"/>
          <w:szCs w:val="22"/>
        </w:rPr>
        <w:t xml:space="preserve"> activities promoting bilateral relations</w:t>
      </w:r>
      <w:r w:rsidR="008963AC">
        <w:rPr>
          <w:rFonts w:ascii="Calibri" w:hAnsi="Calibri" w:cs="Calibri"/>
          <w:sz w:val="22"/>
          <w:szCs w:val="22"/>
        </w:rPr>
        <w:t xml:space="preserve"> at the programme level</w:t>
      </w:r>
      <w:r w:rsidRPr="000436B3">
        <w:rPr>
          <w:rFonts w:ascii="Calibri" w:hAnsi="Calibri" w:cs="Calibri"/>
          <w:sz w:val="22"/>
          <w:szCs w:val="22"/>
        </w:rPr>
        <w:t xml:space="preserve"> will be covered from programme level bilateral funds. The national level bilateral fund will further be a resource for activities encouraging better mutual understanding between Slovenian and th</w:t>
      </w:r>
      <w:r w:rsidR="008963AC">
        <w:rPr>
          <w:rFonts w:ascii="Calibri" w:hAnsi="Calibri" w:cs="Calibri"/>
          <w:sz w:val="22"/>
          <w:szCs w:val="22"/>
        </w:rPr>
        <w:t>e donor countries’ institutions as presented in this document.</w:t>
      </w:r>
      <w:r w:rsidR="00CE2C6E">
        <w:rPr>
          <w:rFonts w:ascii="Calibri" w:hAnsi="Calibri" w:cs="Calibri"/>
          <w:sz w:val="22"/>
          <w:szCs w:val="22"/>
        </w:rPr>
        <w:t xml:space="preserve"> Therefore under Priority 5 “Other initiatives to be agreed with the Donors” some funds are allocated for further exchange of practices, attendance on common events and meetings, which will be organized during the implementation of fund or bilateral relations at the national level.</w:t>
      </w:r>
    </w:p>
    <w:p w:rsidR="000436B3" w:rsidRPr="00CE2C6E" w:rsidRDefault="000436B3" w:rsidP="00153BCB">
      <w:pPr>
        <w:pStyle w:val="Naslov2"/>
        <w:numPr>
          <w:ilvl w:val="0"/>
          <w:numId w:val="44"/>
        </w:numPr>
      </w:pPr>
      <w:r w:rsidRPr="00CE2C6E">
        <w:t>Relation between national level fund and programme level funds</w:t>
      </w:r>
    </w:p>
    <w:p w:rsidR="000436B3" w:rsidRDefault="008963AC" w:rsidP="000436B3">
      <w:pPr>
        <w:spacing w:before="120" w:after="120" w:line="240" w:lineRule="auto"/>
        <w:jc w:val="both"/>
        <w:rPr>
          <w:rFonts w:ascii="Calibri" w:hAnsi="Calibri" w:cs="Calibri"/>
          <w:sz w:val="22"/>
          <w:szCs w:val="22"/>
        </w:rPr>
      </w:pPr>
      <w:r>
        <w:rPr>
          <w:rFonts w:ascii="Calibri" w:hAnsi="Calibri" w:cs="Calibri"/>
          <w:sz w:val="22"/>
          <w:szCs w:val="22"/>
        </w:rPr>
        <w:t>T</w:t>
      </w:r>
      <w:r w:rsidR="000436B3" w:rsidRPr="000436B3">
        <w:rPr>
          <w:rFonts w:ascii="Calibri" w:hAnsi="Calibri" w:cs="Calibri"/>
          <w:sz w:val="22"/>
          <w:szCs w:val="22"/>
        </w:rPr>
        <w:t xml:space="preserve">he idea of using the national level fund is taking broader initiatives and target groups in comparison to bilateral fund at the programme level. </w:t>
      </w:r>
      <w:r w:rsidRPr="008963AC">
        <w:rPr>
          <w:rFonts w:ascii="Calibri" w:hAnsi="Calibri" w:cs="Calibri"/>
          <w:sz w:val="22"/>
          <w:szCs w:val="22"/>
        </w:rPr>
        <w:t xml:space="preserve">Synergies between the bilateral fund at national level and programme level are highly relevant since </w:t>
      </w:r>
      <w:r>
        <w:rPr>
          <w:rFonts w:ascii="Calibri" w:hAnsi="Calibri" w:cs="Calibri"/>
          <w:sz w:val="22"/>
          <w:szCs w:val="22"/>
        </w:rPr>
        <w:t xml:space="preserve">Priority 2 </w:t>
      </w:r>
      <w:r w:rsidR="00CE2C6E">
        <w:rPr>
          <w:rFonts w:ascii="Calibri" w:hAnsi="Calibri" w:cs="Calibri"/>
          <w:sz w:val="22"/>
          <w:szCs w:val="22"/>
        </w:rPr>
        <w:t xml:space="preserve">(Health) </w:t>
      </w:r>
      <w:r>
        <w:rPr>
          <w:rFonts w:ascii="Calibri" w:hAnsi="Calibri" w:cs="Calibri"/>
          <w:sz w:val="22"/>
          <w:szCs w:val="22"/>
        </w:rPr>
        <w:t xml:space="preserve">and 3 </w:t>
      </w:r>
      <w:r w:rsidR="00CE2C6E">
        <w:rPr>
          <w:rFonts w:ascii="Calibri" w:hAnsi="Calibri" w:cs="Calibri"/>
          <w:sz w:val="22"/>
          <w:szCs w:val="22"/>
        </w:rPr>
        <w:t xml:space="preserve">(Gender equality) </w:t>
      </w:r>
      <w:r>
        <w:rPr>
          <w:rFonts w:ascii="Calibri" w:hAnsi="Calibri" w:cs="Calibri"/>
          <w:sz w:val="22"/>
          <w:szCs w:val="22"/>
        </w:rPr>
        <w:t>of the bilateral fund at the national level</w:t>
      </w:r>
      <w:r w:rsidRPr="008963AC">
        <w:rPr>
          <w:rFonts w:ascii="Calibri" w:hAnsi="Calibri" w:cs="Calibri"/>
          <w:sz w:val="22"/>
          <w:szCs w:val="22"/>
        </w:rPr>
        <w:t xml:space="preserve"> are </w:t>
      </w:r>
      <w:r w:rsidR="00CE2C6E">
        <w:rPr>
          <w:rFonts w:ascii="Calibri" w:hAnsi="Calibri" w:cs="Calibri"/>
          <w:sz w:val="22"/>
          <w:szCs w:val="22"/>
        </w:rPr>
        <w:t>also programme areas</w:t>
      </w:r>
      <w:r w:rsidRPr="008963AC">
        <w:rPr>
          <w:rFonts w:ascii="Calibri" w:hAnsi="Calibri" w:cs="Calibri"/>
          <w:sz w:val="22"/>
          <w:szCs w:val="22"/>
        </w:rPr>
        <w:t xml:space="preserve"> of the </w:t>
      </w:r>
      <w:r>
        <w:rPr>
          <w:rFonts w:ascii="Calibri" w:hAnsi="Calibri" w:cs="Calibri"/>
          <w:sz w:val="22"/>
          <w:szCs w:val="22"/>
        </w:rPr>
        <w:t>SI05 programme</w:t>
      </w:r>
      <w:r w:rsidRPr="008963AC">
        <w:rPr>
          <w:rFonts w:ascii="Calibri" w:hAnsi="Calibri" w:cs="Calibri"/>
          <w:sz w:val="22"/>
          <w:szCs w:val="22"/>
        </w:rPr>
        <w:t xml:space="preserve">. </w:t>
      </w:r>
      <w:r>
        <w:rPr>
          <w:rFonts w:ascii="Calibri" w:hAnsi="Calibri" w:cs="Calibri"/>
          <w:sz w:val="22"/>
          <w:szCs w:val="22"/>
        </w:rPr>
        <w:t xml:space="preserve">This was taken into account </w:t>
      </w:r>
      <w:r w:rsidRPr="008963AC">
        <w:rPr>
          <w:rFonts w:ascii="Calibri" w:hAnsi="Calibri" w:cs="Calibri"/>
          <w:sz w:val="22"/>
          <w:szCs w:val="22"/>
        </w:rPr>
        <w:t xml:space="preserve">when </w:t>
      </w:r>
      <w:r w:rsidR="00CE2C6E">
        <w:rPr>
          <w:rFonts w:ascii="Calibri" w:hAnsi="Calibri" w:cs="Calibri"/>
          <w:sz w:val="22"/>
          <w:szCs w:val="22"/>
        </w:rPr>
        <w:t>selecting implementing institutions,</w:t>
      </w:r>
      <w:r w:rsidRPr="008963AC">
        <w:rPr>
          <w:rFonts w:ascii="Calibri" w:hAnsi="Calibri" w:cs="Calibri"/>
          <w:sz w:val="22"/>
          <w:szCs w:val="22"/>
        </w:rPr>
        <w:t xml:space="preserve"> activities, stakeholders</w:t>
      </w:r>
      <w:r w:rsidR="00CE2C6E">
        <w:rPr>
          <w:rFonts w:ascii="Calibri" w:hAnsi="Calibri" w:cs="Calibri"/>
          <w:sz w:val="22"/>
          <w:szCs w:val="22"/>
        </w:rPr>
        <w:t>, target groups</w:t>
      </w:r>
      <w:r w:rsidRPr="008963AC">
        <w:rPr>
          <w:rFonts w:ascii="Calibri" w:hAnsi="Calibri" w:cs="Calibri"/>
          <w:sz w:val="22"/>
          <w:szCs w:val="22"/>
        </w:rPr>
        <w:t xml:space="preserve"> etc. at national and programme level.</w:t>
      </w:r>
      <w:r>
        <w:rPr>
          <w:rFonts w:ascii="Calibri" w:hAnsi="Calibri" w:cs="Calibri"/>
          <w:sz w:val="22"/>
          <w:szCs w:val="22"/>
        </w:rPr>
        <w:t xml:space="preserve"> The synergies between different levels of bilateral rel</w:t>
      </w:r>
      <w:r w:rsidR="00CE2C6E">
        <w:rPr>
          <w:rFonts w:ascii="Calibri" w:hAnsi="Calibri" w:cs="Calibri"/>
          <w:sz w:val="22"/>
          <w:szCs w:val="22"/>
        </w:rPr>
        <w:t>ations are explained in Annex I</w:t>
      </w:r>
      <w:r>
        <w:rPr>
          <w:rFonts w:ascii="Calibri" w:hAnsi="Calibri" w:cs="Calibri"/>
          <w:sz w:val="22"/>
          <w:szCs w:val="22"/>
        </w:rPr>
        <w:t xml:space="preserve"> </w:t>
      </w:r>
      <w:r w:rsidR="00CE2C6E">
        <w:rPr>
          <w:rFonts w:ascii="Calibri" w:hAnsi="Calibri" w:cs="Calibri"/>
          <w:sz w:val="22"/>
          <w:szCs w:val="22"/>
        </w:rPr>
        <w:t>under</w:t>
      </w:r>
      <w:r>
        <w:rPr>
          <w:rFonts w:ascii="Calibri" w:hAnsi="Calibri" w:cs="Calibri"/>
          <w:sz w:val="22"/>
          <w:szCs w:val="22"/>
        </w:rPr>
        <w:t xml:space="preserve"> each priority.</w:t>
      </w:r>
    </w:p>
    <w:p w:rsidR="000436B3" w:rsidRPr="004415B2" w:rsidRDefault="000436B3" w:rsidP="000867A4">
      <w:pPr>
        <w:pStyle w:val="Naslov2"/>
        <w:numPr>
          <w:ilvl w:val="0"/>
          <w:numId w:val="44"/>
        </w:numPr>
      </w:pPr>
      <w:r w:rsidRPr="004415B2">
        <w:t>Implementation system</w:t>
      </w:r>
    </w:p>
    <w:p w:rsidR="00AE1137" w:rsidRDefault="00AE1137" w:rsidP="00725F49">
      <w:pPr>
        <w:spacing w:before="120" w:after="120" w:line="240" w:lineRule="auto"/>
        <w:jc w:val="both"/>
        <w:rPr>
          <w:rFonts w:ascii="Calibri" w:hAnsi="Calibri" w:cs="Calibri"/>
          <w:sz w:val="22"/>
          <w:szCs w:val="22"/>
        </w:rPr>
      </w:pPr>
      <w:r w:rsidRPr="00AE1137">
        <w:rPr>
          <w:rFonts w:ascii="Calibri" w:hAnsi="Calibri" w:cs="Calibri"/>
          <w:sz w:val="22"/>
          <w:szCs w:val="22"/>
        </w:rPr>
        <w:t xml:space="preserve">NFP is responsible for managing the bilateral fund at national level. This </w:t>
      </w:r>
      <w:r>
        <w:rPr>
          <w:rFonts w:ascii="Calibri" w:hAnsi="Calibri" w:cs="Calibri"/>
          <w:sz w:val="22"/>
          <w:szCs w:val="22"/>
        </w:rPr>
        <w:t>is</w:t>
      </w:r>
      <w:r w:rsidRPr="00AE1137">
        <w:rPr>
          <w:rFonts w:ascii="Calibri" w:hAnsi="Calibri" w:cs="Calibri"/>
          <w:sz w:val="22"/>
          <w:szCs w:val="22"/>
        </w:rPr>
        <w:t xml:space="preserve"> reflected </w:t>
      </w:r>
      <w:r>
        <w:rPr>
          <w:rFonts w:ascii="Calibri" w:hAnsi="Calibri" w:cs="Calibri"/>
          <w:sz w:val="22"/>
          <w:szCs w:val="22"/>
        </w:rPr>
        <w:t xml:space="preserve">also </w:t>
      </w:r>
      <w:r w:rsidRPr="00AE1137">
        <w:rPr>
          <w:rFonts w:ascii="Calibri" w:hAnsi="Calibri" w:cs="Calibri"/>
          <w:sz w:val="22"/>
          <w:szCs w:val="22"/>
        </w:rPr>
        <w:t xml:space="preserve">in Annex </w:t>
      </w:r>
      <w:r w:rsidR="00AC79FB">
        <w:rPr>
          <w:rFonts w:ascii="Calibri" w:hAnsi="Calibri" w:cs="Calibri"/>
          <w:sz w:val="22"/>
          <w:szCs w:val="22"/>
        </w:rPr>
        <w:t>I</w:t>
      </w:r>
      <w:r w:rsidRPr="00AE1137">
        <w:rPr>
          <w:rFonts w:ascii="Calibri" w:hAnsi="Calibri" w:cs="Calibri"/>
          <w:sz w:val="22"/>
          <w:szCs w:val="22"/>
        </w:rPr>
        <w:t xml:space="preserve"> </w:t>
      </w:r>
      <w:r w:rsidR="000867A4">
        <w:rPr>
          <w:rFonts w:ascii="Calibri" w:hAnsi="Calibri" w:cs="Calibri"/>
          <w:sz w:val="22"/>
          <w:szCs w:val="22"/>
        </w:rPr>
        <w:t>in</w:t>
      </w:r>
      <w:r w:rsidRPr="00AE1137">
        <w:rPr>
          <w:rFonts w:ascii="Calibri" w:hAnsi="Calibri" w:cs="Calibri"/>
          <w:sz w:val="22"/>
          <w:szCs w:val="22"/>
        </w:rPr>
        <w:t xml:space="preserve"> detailed description of </w:t>
      </w:r>
      <w:r>
        <w:rPr>
          <w:rFonts w:ascii="Calibri" w:hAnsi="Calibri" w:cs="Calibri"/>
          <w:sz w:val="22"/>
          <w:szCs w:val="22"/>
        </w:rPr>
        <w:t xml:space="preserve">the </w:t>
      </w:r>
      <w:r w:rsidRPr="00AE1137">
        <w:rPr>
          <w:rFonts w:ascii="Calibri" w:hAnsi="Calibri" w:cs="Calibri"/>
          <w:sz w:val="22"/>
          <w:szCs w:val="22"/>
        </w:rPr>
        <w:t>priorities.</w:t>
      </w:r>
      <w:r>
        <w:rPr>
          <w:rFonts w:ascii="Calibri" w:hAnsi="Calibri" w:cs="Calibri"/>
          <w:sz w:val="22"/>
          <w:szCs w:val="22"/>
        </w:rPr>
        <w:t xml:space="preserve"> All activities will be organized by the NFP in </w:t>
      </w:r>
      <w:r w:rsidRPr="00AE1137">
        <w:rPr>
          <w:rFonts w:ascii="Calibri" w:hAnsi="Calibri" w:cs="Calibri"/>
          <w:sz w:val="22"/>
          <w:szCs w:val="22"/>
        </w:rPr>
        <w:t xml:space="preserve">cooperation </w:t>
      </w:r>
      <w:r>
        <w:rPr>
          <w:rFonts w:ascii="Calibri" w:hAnsi="Calibri" w:cs="Calibri"/>
          <w:sz w:val="22"/>
          <w:szCs w:val="22"/>
        </w:rPr>
        <w:t xml:space="preserve">with other </w:t>
      </w:r>
      <w:r w:rsidR="000867A4">
        <w:rPr>
          <w:rFonts w:ascii="Calibri" w:hAnsi="Calibri" w:cs="Calibri"/>
          <w:sz w:val="22"/>
          <w:szCs w:val="22"/>
        </w:rPr>
        <w:t>stakeholders</w:t>
      </w:r>
      <w:r w:rsidR="00AC79FB">
        <w:rPr>
          <w:rFonts w:ascii="Calibri" w:hAnsi="Calibri" w:cs="Calibri"/>
          <w:sz w:val="22"/>
          <w:szCs w:val="22"/>
        </w:rPr>
        <w:t xml:space="preserve"> defined in Annex </w:t>
      </w:r>
      <w:r>
        <w:rPr>
          <w:rFonts w:ascii="Calibri" w:hAnsi="Calibri" w:cs="Calibri"/>
          <w:sz w:val="22"/>
          <w:szCs w:val="22"/>
        </w:rPr>
        <w:t>I.</w:t>
      </w:r>
      <w:r w:rsidRPr="00AE1137">
        <w:rPr>
          <w:rFonts w:ascii="Calibri" w:hAnsi="Calibri" w:cs="Calibri"/>
          <w:sz w:val="22"/>
          <w:szCs w:val="22"/>
        </w:rPr>
        <w:t xml:space="preserve"> </w:t>
      </w:r>
      <w:r>
        <w:rPr>
          <w:rFonts w:ascii="Calibri" w:hAnsi="Calibri" w:cs="Calibri"/>
          <w:sz w:val="22"/>
          <w:szCs w:val="22"/>
        </w:rPr>
        <w:t>Th</w:t>
      </w:r>
      <w:r w:rsidRPr="00AE1137">
        <w:rPr>
          <w:rFonts w:ascii="Calibri" w:hAnsi="Calibri" w:cs="Calibri"/>
          <w:sz w:val="22"/>
          <w:szCs w:val="22"/>
        </w:rPr>
        <w:t xml:space="preserve">e NFP </w:t>
      </w:r>
      <w:r w:rsidR="00AC79FB">
        <w:rPr>
          <w:rFonts w:ascii="Calibri" w:hAnsi="Calibri" w:cs="Calibri"/>
          <w:sz w:val="22"/>
          <w:szCs w:val="22"/>
        </w:rPr>
        <w:t>has</w:t>
      </w:r>
      <w:r w:rsidR="00725F49">
        <w:rPr>
          <w:rFonts w:ascii="Calibri" w:hAnsi="Calibri" w:cs="Calibri"/>
          <w:sz w:val="22"/>
          <w:szCs w:val="22"/>
        </w:rPr>
        <w:t xml:space="preserve"> </w:t>
      </w:r>
      <w:r w:rsidR="000867A4">
        <w:rPr>
          <w:rFonts w:ascii="Calibri" w:hAnsi="Calibri" w:cs="Calibri"/>
          <w:sz w:val="22"/>
          <w:szCs w:val="22"/>
        </w:rPr>
        <w:t>overall responsibility for implementation of the fund at national level. NFP will</w:t>
      </w:r>
      <w:r w:rsidRPr="00AE1137">
        <w:rPr>
          <w:rFonts w:ascii="Calibri" w:hAnsi="Calibri" w:cs="Calibri"/>
          <w:sz w:val="22"/>
          <w:szCs w:val="22"/>
        </w:rPr>
        <w:t xml:space="preserve"> </w:t>
      </w:r>
      <w:r w:rsidR="00725F49" w:rsidRPr="00AE1137">
        <w:rPr>
          <w:rFonts w:ascii="Calibri" w:hAnsi="Calibri" w:cs="Calibri"/>
          <w:sz w:val="22"/>
          <w:szCs w:val="22"/>
        </w:rPr>
        <w:t>organize</w:t>
      </w:r>
      <w:r w:rsidRPr="00AE1137">
        <w:rPr>
          <w:rFonts w:ascii="Calibri" w:hAnsi="Calibri" w:cs="Calibri"/>
          <w:sz w:val="22"/>
          <w:szCs w:val="22"/>
        </w:rPr>
        <w:t xml:space="preserve"> event</w:t>
      </w:r>
      <w:r w:rsidR="00725F49">
        <w:rPr>
          <w:rFonts w:ascii="Calibri" w:hAnsi="Calibri" w:cs="Calibri"/>
          <w:sz w:val="22"/>
          <w:szCs w:val="22"/>
        </w:rPr>
        <w:t>s and execute payments</w:t>
      </w:r>
      <w:r w:rsidR="00AC79FB">
        <w:rPr>
          <w:rFonts w:ascii="Calibri" w:hAnsi="Calibri" w:cs="Calibri"/>
          <w:sz w:val="22"/>
          <w:szCs w:val="22"/>
        </w:rPr>
        <w:t xml:space="preserve"> in line with the descriptions of payment procedures in the Description of the management and control systems for EEA FM and Norwegian FM 2009 – 2014 in the Republic of Slovenia. NFP will prepare </w:t>
      </w:r>
      <w:r w:rsidR="000867A4">
        <w:rPr>
          <w:rFonts w:ascii="Calibri" w:hAnsi="Calibri" w:cs="Calibri"/>
          <w:sz w:val="22"/>
          <w:szCs w:val="22"/>
        </w:rPr>
        <w:t xml:space="preserve">also </w:t>
      </w:r>
      <w:r w:rsidR="00AC79FB">
        <w:rPr>
          <w:rFonts w:ascii="Calibri" w:hAnsi="Calibri" w:cs="Calibri"/>
          <w:sz w:val="22"/>
          <w:szCs w:val="22"/>
        </w:rPr>
        <w:t>Guidelines for implementation of the Technical Assistance and Bilateral fund at national level</w:t>
      </w:r>
      <w:r w:rsidR="000867A4">
        <w:rPr>
          <w:rFonts w:ascii="Calibri" w:hAnsi="Calibri" w:cs="Calibri"/>
          <w:sz w:val="22"/>
          <w:szCs w:val="22"/>
        </w:rPr>
        <w:t xml:space="preserve"> (SI01)</w:t>
      </w:r>
      <w:r w:rsidR="00AC79FB">
        <w:rPr>
          <w:rFonts w:ascii="Calibri" w:hAnsi="Calibri" w:cs="Calibri"/>
          <w:sz w:val="22"/>
          <w:szCs w:val="22"/>
        </w:rPr>
        <w:t>, which will include detailed descriptions of eligibility criteria and procedures for implementation, reporting and control.</w:t>
      </w:r>
    </w:p>
    <w:p w:rsidR="00AC79FB" w:rsidRDefault="00AC79FB" w:rsidP="00AC79FB">
      <w:pPr>
        <w:spacing w:before="120" w:after="120" w:line="240" w:lineRule="auto"/>
        <w:jc w:val="both"/>
        <w:rPr>
          <w:rFonts w:ascii="Calibri" w:hAnsi="Calibri" w:cs="Calibri"/>
          <w:sz w:val="22"/>
          <w:szCs w:val="22"/>
        </w:rPr>
      </w:pPr>
      <w:r w:rsidRPr="000436B3">
        <w:rPr>
          <w:rFonts w:ascii="Calibri" w:hAnsi="Calibri" w:cs="Calibri"/>
          <w:sz w:val="22"/>
          <w:szCs w:val="22"/>
        </w:rPr>
        <w:t xml:space="preserve">As the size of the fund is limited and the aim </w:t>
      </w:r>
      <w:r>
        <w:rPr>
          <w:rFonts w:ascii="Calibri" w:hAnsi="Calibri" w:cs="Calibri"/>
          <w:sz w:val="22"/>
          <w:szCs w:val="22"/>
        </w:rPr>
        <w:t xml:space="preserve">of all proposed activities under this fund </w:t>
      </w:r>
      <w:r w:rsidRPr="000436B3">
        <w:rPr>
          <w:rFonts w:ascii="Calibri" w:hAnsi="Calibri" w:cs="Calibri"/>
          <w:sz w:val="22"/>
          <w:szCs w:val="22"/>
        </w:rPr>
        <w:t>is to involve as broad extent of the target groups as possible</w:t>
      </w:r>
      <w:r>
        <w:rPr>
          <w:rFonts w:ascii="Calibri" w:hAnsi="Calibri" w:cs="Calibri"/>
          <w:sz w:val="22"/>
          <w:szCs w:val="22"/>
        </w:rPr>
        <w:t>,</w:t>
      </w:r>
      <w:r w:rsidRPr="000436B3">
        <w:rPr>
          <w:rFonts w:ascii="Calibri" w:hAnsi="Calibri" w:cs="Calibri"/>
          <w:sz w:val="22"/>
          <w:szCs w:val="22"/>
        </w:rPr>
        <w:t xml:space="preserve"> no open calls for smaller initiatives are foreseen. </w:t>
      </w:r>
      <w:r w:rsidRPr="00AC79FB">
        <w:rPr>
          <w:rFonts w:ascii="Calibri" w:hAnsi="Calibri" w:cs="Calibri"/>
          <w:sz w:val="22"/>
          <w:szCs w:val="22"/>
        </w:rPr>
        <w:t>In case allocated funds from predefined ac</w:t>
      </w:r>
      <w:r>
        <w:rPr>
          <w:rFonts w:ascii="Calibri" w:hAnsi="Calibri" w:cs="Calibri"/>
          <w:sz w:val="22"/>
          <w:szCs w:val="22"/>
        </w:rPr>
        <w:t>tivities, identified in Annex I</w:t>
      </w:r>
      <w:r w:rsidRPr="00AC79FB">
        <w:rPr>
          <w:rFonts w:ascii="Calibri" w:hAnsi="Calibri" w:cs="Calibri"/>
          <w:sz w:val="22"/>
          <w:szCs w:val="22"/>
        </w:rPr>
        <w:t xml:space="preserve"> will not be used, the restricted open calls in specific areas </w:t>
      </w:r>
      <w:r>
        <w:rPr>
          <w:rFonts w:ascii="Calibri" w:hAnsi="Calibri" w:cs="Calibri"/>
          <w:sz w:val="22"/>
          <w:szCs w:val="22"/>
        </w:rPr>
        <w:t>may</w:t>
      </w:r>
      <w:r w:rsidRPr="00AC79FB">
        <w:rPr>
          <w:rFonts w:ascii="Calibri" w:hAnsi="Calibri" w:cs="Calibri"/>
          <w:sz w:val="22"/>
          <w:szCs w:val="22"/>
        </w:rPr>
        <w:t xml:space="preserve"> be published to identify new application institutions to carry out specific activities.</w:t>
      </w:r>
    </w:p>
    <w:p w:rsidR="002B3ADC" w:rsidRDefault="000436B3" w:rsidP="002B3ADC">
      <w:pPr>
        <w:spacing w:before="120" w:after="120" w:line="240" w:lineRule="auto"/>
        <w:jc w:val="both"/>
        <w:rPr>
          <w:rFonts w:ascii="Calibri" w:hAnsi="Calibri" w:cs="Calibri"/>
          <w:sz w:val="22"/>
          <w:szCs w:val="22"/>
        </w:rPr>
      </w:pPr>
      <w:r w:rsidRPr="000436B3">
        <w:rPr>
          <w:rFonts w:ascii="Calibri" w:hAnsi="Calibri" w:cs="Calibri"/>
          <w:sz w:val="22"/>
          <w:szCs w:val="22"/>
        </w:rPr>
        <w:lastRenderedPageBreak/>
        <w:t xml:space="preserve">The main principle of organizing events is that the Focal Point is open for proposals of ideas from </w:t>
      </w:r>
      <w:r w:rsidR="00AC79FB">
        <w:rPr>
          <w:rFonts w:ascii="Calibri" w:hAnsi="Calibri" w:cs="Calibri"/>
          <w:sz w:val="22"/>
          <w:szCs w:val="22"/>
        </w:rPr>
        <w:t>applicant institutions, listed in Annex I</w:t>
      </w:r>
      <w:r w:rsidR="00725F49">
        <w:rPr>
          <w:rFonts w:ascii="Calibri" w:hAnsi="Calibri" w:cs="Calibri"/>
          <w:sz w:val="22"/>
          <w:szCs w:val="22"/>
        </w:rPr>
        <w:t xml:space="preserve"> in co-operation with the FMO and the Norwegian Embassy in Budapest. The activities will be presented </w:t>
      </w:r>
      <w:r w:rsidR="002B3ADC">
        <w:rPr>
          <w:rFonts w:ascii="Calibri" w:hAnsi="Calibri" w:cs="Calibri"/>
          <w:sz w:val="22"/>
          <w:szCs w:val="22"/>
        </w:rPr>
        <w:t xml:space="preserve">also </w:t>
      </w:r>
      <w:r w:rsidR="00725F49">
        <w:rPr>
          <w:rFonts w:ascii="Calibri" w:hAnsi="Calibri" w:cs="Calibri"/>
          <w:sz w:val="22"/>
          <w:szCs w:val="22"/>
        </w:rPr>
        <w:t>at the Monitoring Committee</w:t>
      </w:r>
      <w:r w:rsidR="002B3ADC">
        <w:rPr>
          <w:rFonts w:ascii="Calibri" w:hAnsi="Calibri" w:cs="Calibri"/>
          <w:sz w:val="22"/>
          <w:szCs w:val="22"/>
        </w:rPr>
        <w:t xml:space="preserve"> meeting</w:t>
      </w:r>
      <w:r w:rsidR="00725F49">
        <w:rPr>
          <w:rFonts w:ascii="Calibri" w:hAnsi="Calibri" w:cs="Calibri"/>
          <w:sz w:val="22"/>
          <w:szCs w:val="22"/>
        </w:rPr>
        <w:t xml:space="preserve">. </w:t>
      </w:r>
      <w:r w:rsidRPr="000436B3">
        <w:rPr>
          <w:rFonts w:ascii="Calibri" w:hAnsi="Calibri" w:cs="Calibri"/>
          <w:sz w:val="22"/>
          <w:szCs w:val="22"/>
        </w:rPr>
        <w:t xml:space="preserve">Unofficial ad hoc working </w:t>
      </w:r>
      <w:r w:rsidR="005E112D" w:rsidRPr="000436B3">
        <w:rPr>
          <w:rFonts w:ascii="Calibri" w:hAnsi="Calibri" w:cs="Calibri"/>
          <w:sz w:val="22"/>
          <w:szCs w:val="22"/>
        </w:rPr>
        <w:t>groups</w:t>
      </w:r>
      <w:r w:rsidR="008963AC">
        <w:rPr>
          <w:rFonts w:ascii="Calibri" w:hAnsi="Calibri" w:cs="Calibri"/>
          <w:sz w:val="22"/>
          <w:szCs w:val="22"/>
        </w:rPr>
        <w:t xml:space="preserve"> called upon by the NFP</w:t>
      </w:r>
      <w:r w:rsidRPr="000436B3">
        <w:rPr>
          <w:rFonts w:ascii="Calibri" w:hAnsi="Calibri" w:cs="Calibri"/>
          <w:sz w:val="22"/>
          <w:szCs w:val="22"/>
        </w:rPr>
        <w:t xml:space="preserve"> consisting of rep</w:t>
      </w:r>
      <w:r w:rsidR="005E112D">
        <w:rPr>
          <w:rFonts w:ascii="Calibri" w:hAnsi="Calibri" w:cs="Calibri"/>
          <w:sz w:val="22"/>
          <w:szCs w:val="22"/>
        </w:rPr>
        <w:t xml:space="preserve">resentatives of the Focal Point and </w:t>
      </w:r>
      <w:r w:rsidR="002B3ADC">
        <w:rPr>
          <w:rFonts w:ascii="Calibri" w:hAnsi="Calibri" w:cs="Calibri"/>
          <w:sz w:val="22"/>
          <w:szCs w:val="22"/>
        </w:rPr>
        <w:t>applicant institutions</w:t>
      </w:r>
      <w:r w:rsidR="005E112D">
        <w:rPr>
          <w:rFonts w:ascii="Calibri" w:hAnsi="Calibri" w:cs="Calibri"/>
          <w:sz w:val="22"/>
          <w:szCs w:val="22"/>
        </w:rPr>
        <w:t xml:space="preserve"> </w:t>
      </w:r>
      <w:r w:rsidRPr="000436B3">
        <w:rPr>
          <w:rFonts w:ascii="Calibri" w:hAnsi="Calibri" w:cs="Calibri"/>
          <w:sz w:val="22"/>
          <w:szCs w:val="22"/>
        </w:rPr>
        <w:t>and other relevant parties will be established in order to work out the main principles of concrete events.</w:t>
      </w:r>
      <w:r w:rsidR="002B3ADC" w:rsidRPr="002B3ADC">
        <w:rPr>
          <w:rFonts w:ascii="Calibri" w:hAnsi="Calibri" w:cs="Calibri"/>
          <w:sz w:val="22"/>
          <w:szCs w:val="22"/>
        </w:rPr>
        <w:t xml:space="preserve"> </w:t>
      </w:r>
    </w:p>
    <w:p w:rsidR="002B3ADC" w:rsidRPr="00AE1137" w:rsidRDefault="002B3ADC" w:rsidP="002B3ADC">
      <w:pPr>
        <w:spacing w:before="120" w:after="120" w:line="240" w:lineRule="auto"/>
        <w:jc w:val="both"/>
        <w:rPr>
          <w:rFonts w:ascii="Calibri" w:hAnsi="Calibri" w:cs="Calibri"/>
          <w:sz w:val="22"/>
          <w:szCs w:val="22"/>
        </w:rPr>
      </w:pPr>
      <w:r w:rsidRPr="00AE1137">
        <w:rPr>
          <w:rFonts w:ascii="Calibri" w:hAnsi="Calibri" w:cs="Calibri"/>
          <w:sz w:val="22"/>
          <w:szCs w:val="22"/>
        </w:rPr>
        <w:t xml:space="preserve">In accordance with the Regulation, the bilateral work plan </w:t>
      </w:r>
      <w:r>
        <w:rPr>
          <w:rFonts w:ascii="Calibri" w:hAnsi="Calibri" w:cs="Calibri"/>
          <w:sz w:val="22"/>
          <w:szCs w:val="22"/>
        </w:rPr>
        <w:t>will</w:t>
      </w:r>
      <w:r w:rsidRPr="00AE1137">
        <w:rPr>
          <w:rFonts w:ascii="Calibri" w:hAnsi="Calibri" w:cs="Calibri"/>
          <w:sz w:val="22"/>
          <w:szCs w:val="22"/>
        </w:rPr>
        <w:t xml:space="preserve"> be reported o</w:t>
      </w:r>
      <w:r>
        <w:rPr>
          <w:rFonts w:ascii="Calibri" w:hAnsi="Calibri" w:cs="Calibri"/>
          <w:sz w:val="22"/>
          <w:szCs w:val="22"/>
        </w:rPr>
        <w:t>n in the Strategic Report and will</w:t>
      </w:r>
      <w:r w:rsidRPr="00AE1137">
        <w:rPr>
          <w:rFonts w:ascii="Calibri" w:hAnsi="Calibri" w:cs="Calibri"/>
          <w:sz w:val="22"/>
          <w:szCs w:val="22"/>
        </w:rPr>
        <w:t xml:space="preserve"> thus</w:t>
      </w:r>
      <w:r>
        <w:rPr>
          <w:rFonts w:ascii="Calibri" w:hAnsi="Calibri" w:cs="Calibri"/>
          <w:sz w:val="22"/>
          <w:szCs w:val="22"/>
        </w:rPr>
        <w:t xml:space="preserve"> be</w:t>
      </w:r>
      <w:r w:rsidRPr="00AE1137">
        <w:rPr>
          <w:rFonts w:ascii="Calibri" w:hAnsi="Calibri" w:cs="Calibri"/>
          <w:sz w:val="22"/>
          <w:szCs w:val="22"/>
        </w:rPr>
        <w:t xml:space="preserve"> subject to discussion during the annual meeting. A more detailed (year) plan </w:t>
      </w:r>
      <w:r>
        <w:rPr>
          <w:rFonts w:ascii="Calibri" w:hAnsi="Calibri" w:cs="Calibri"/>
          <w:sz w:val="22"/>
          <w:szCs w:val="22"/>
        </w:rPr>
        <w:t>will</w:t>
      </w:r>
      <w:r w:rsidRPr="00AE1137">
        <w:rPr>
          <w:rFonts w:ascii="Calibri" w:hAnsi="Calibri" w:cs="Calibri"/>
          <w:sz w:val="22"/>
          <w:szCs w:val="22"/>
        </w:rPr>
        <w:t xml:space="preserve"> be presented at the annual meeting. A consultation meeting at the beginning of every year with the Donor States’ embassies (in particular the Norwegian embassy) </w:t>
      </w:r>
      <w:r>
        <w:rPr>
          <w:rFonts w:ascii="Calibri" w:hAnsi="Calibri" w:cs="Calibri"/>
          <w:sz w:val="22"/>
          <w:szCs w:val="22"/>
        </w:rPr>
        <w:t>will</w:t>
      </w:r>
      <w:r w:rsidRPr="00AE1137">
        <w:rPr>
          <w:rFonts w:ascii="Calibri" w:hAnsi="Calibri" w:cs="Calibri"/>
          <w:sz w:val="22"/>
          <w:szCs w:val="22"/>
        </w:rPr>
        <w:t xml:space="preserve"> be considered when planning for next year’s activities. </w:t>
      </w:r>
    </w:p>
    <w:p w:rsidR="000436B3" w:rsidRPr="000436B3" w:rsidRDefault="000436B3" w:rsidP="000436B3">
      <w:pPr>
        <w:spacing w:before="120" w:after="120" w:line="240" w:lineRule="auto"/>
        <w:jc w:val="both"/>
        <w:rPr>
          <w:rFonts w:ascii="Calibri" w:hAnsi="Calibri" w:cs="Calibri"/>
          <w:sz w:val="22"/>
          <w:szCs w:val="22"/>
        </w:rPr>
      </w:pPr>
      <w:r w:rsidRPr="000436B3">
        <w:rPr>
          <w:rFonts w:ascii="Calibri" w:hAnsi="Calibri" w:cs="Calibri"/>
          <w:sz w:val="22"/>
          <w:szCs w:val="22"/>
        </w:rPr>
        <w:t>The applicant institution</w:t>
      </w:r>
      <w:r w:rsidR="005E112D">
        <w:rPr>
          <w:rFonts w:ascii="Calibri" w:hAnsi="Calibri" w:cs="Calibri"/>
          <w:sz w:val="22"/>
          <w:szCs w:val="22"/>
        </w:rPr>
        <w:t xml:space="preserve">s are ministries in the Republic of Slovenia, responsible for the areas proposed in the work </w:t>
      </w:r>
      <w:r w:rsidR="002B3ADC">
        <w:rPr>
          <w:rFonts w:ascii="Calibri" w:hAnsi="Calibri" w:cs="Calibri"/>
          <w:sz w:val="22"/>
          <w:szCs w:val="22"/>
        </w:rPr>
        <w:t>plan</w:t>
      </w:r>
      <w:r w:rsidR="005E112D">
        <w:rPr>
          <w:rFonts w:ascii="Calibri" w:hAnsi="Calibri" w:cs="Calibri"/>
          <w:sz w:val="22"/>
          <w:szCs w:val="22"/>
        </w:rPr>
        <w:t xml:space="preserve"> for the bilateral fund</w:t>
      </w:r>
      <w:r w:rsidR="002B3ADC">
        <w:rPr>
          <w:rFonts w:ascii="Calibri" w:hAnsi="Calibri" w:cs="Calibri"/>
          <w:sz w:val="22"/>
          <w:szCs w:val="22"/>
        </w:rPr>
        <w:t xml:space="preserve"> at national level (see Annex I</w:t>
      </w:r>
      <w:r w:rsidR="005E112D">
        <w:rPr>
          <w:rFonts w:ascii="Calibri" w:hAnsi="Calibri" w:cs="Calibri"/>
          <w:sz w:val="22"/>
          <w:szCs w:val="22"/>
        </w:rPr>
        <w:t>).</w:t>
      </w:r>
      <w:r w:rsidR="000867A4">
        <w:rPr>
          <w:rFonts w:ascii="Calibri" w:hAnsi="Calibri" w:cs="Calibri"/>
          <w:sz w:val="22"/>
          <w:szCs w:val="22"/>
        </w:rPr>
        <w:t xml:space="preserve"> Therefore NFP will transfer the responsibility</w:t>
      </w:r>
      <w:r w:rsidR="005E112D">
        <w:rPr>
          <w:rFonts w:ascii="Calibri" w:hAnsi="Calibri" w:cs="Calibri"/>
          <w:sz w:val="22"/>
          <w:szCs w:val="22"/>
        </w:rPr>
        <w:t xml:space="preserve"> for organization of</w:t>
      </w:r>
      <w:r w:rsidRPr="000436B3">
        <w:rPr>
          <w:rFonts w:ascii="Calibri" w:hAnsi="Calibri" w:cs="Calibri"/>
          <w:sz w:val="22"/>
          <w:szCs w:val="22"/>
        </w:rPr>
        <w:t xml:space="preserve"> the content of the event</w:t>
      </w:r>
      <w:r w:rsidR="002B3ADC">
        <w:rPr>
          <w:rFonts w:ascii="Calibri" w:hAnsi="Calibri" w:cs="Calibri"/>
          <w:sz w:val="22"/>
          <w:szCs w:val="22"/>
        </w:rPr>
        <w:t>s</w:t>
      </w:r>
      <w:r w:rsidR="002057F2">
        <w:rPr>
          <w:rFonts w:ascii="Calibri" w:hAnsi="Calibri" w:cs="Calibri"/>
          <w:sz w:val="22"/>
          <w:szCs w:val="22"/>
        </w:rPr>
        <w:t xml:space="preserve"> to this ministries, i.e.to </w:t>
      </w:r>
      <w:r w:rsidRPr="000436B3">
        <w:rPr>
          <w:rFonts w:ascii="Calibri" w:hAnsi="Calibri" w:cs="Calibri"/>
          <w:sz w:val="22"/>
          <w:szCs w:val="22"/>
        </w:rPr>
        <w:t xml:space="preserve">find the </w:t>
      </w:r>
      <w:r w:rsidR="002B3ADC">
        <w:rPr>
          <w:rFonts w:ascii="Calibri" w:hAnsi="Calibri" w:cs="Calibri"/>
          <w:sz w:val="22"/>
          <w:szCs w:val="22"/>
        </w:rPr>
        <w:t xml:space="preserve">partner institutions, </w:t>
      </w:r>
      <w:r w:rsidRPr="000436B3">
        <w:rPr>
          <w:rFonts w:ascii="Calibri" w:hAnsi="Calibri" w:cs="Calibri"/>
          <w:sz w:val="22"/>
          <w:szCs w:val="22"/>
        </w:rPr>
        <w:t xml:space="preserve">speakers, take care of invitations, agenda etc. The Focal Point will </w:t>
      </w:r>
      <w:r w:rsidR="005E112D">
        <w:rPr>
          <w:rFonts w:ascii="Calibri" w:hAnsi="Calibri" w:cs="Calibri"/>
          <w:sz w:val="22"/>
          <w:szCs w:val="22"/>
        </w:rPr>
        <w:t>hir</w:t>
      </w:r>
      <w:r w:rsidR="000867A4">
        <w:rPr>
          <w:rFonts w:ascii="Calibri" w:hAnsi="Calibri" w:cs="Calibri"/>
          <w:sz w:val="22"/>
          <w:szCs w:val="22"/>
        </w:rPr>
        <w:t>e subcontractors (in line with national</w:t>
      </w:r>
      <w:r w:rsidR="005E112D">
        <w:rPr>
          <w:rFonts w:ascii="Calibri" w:hAnsi="Calibri" w:cs="Calibri"/>
          <w:sz w:val="22"/>
          <w:szCs w:val="22"/>
        </w:rPr>
        <w:t xml:space="preserve"> rules </w:t>
      </w:r>
      <w:r w:rsidR="000867A4">
        <w:rPr>
          <w:rFonts w:ascii="Calibri" w:hAnsi="Calibri" w:cs="Calibri"/>
          <w:sz w:val="22"/>
          <w:szCs w:val="22"/>
        </w:rPr>
        <w:t>and provisions of the Regulations)</w:t>
      </w:r>
      <w:r w:rsidR="005E112D">
        <w:rPr>
          <w:rFonts w:ascii="Calibri" w:hAnsi="Calibri" w:cs="Calibri"/>
          <w:sz w:val="22"/>
          <w:szCs w:val="22"/>
        </w:rPr>
        <w:t xml:space="preserve"> </w:t>
      </w:r>
      <w:r w:rsidR="002B3ADC">
        <w:rPr>
          <w:rFonts w:ascii="Calibri" w:hAnsi="Calibri" w:cs="Calibri"/>
          <w:sz w:val="22"/>
          <w:szCs w:val="22"/>
        </w:rPr>
        <w:t>related to</w:t>
      </w:r>
      <w:r w:rsidR="005E112D">
        <w:rPr>
          <w:rFonts w:ascii="Calibri" w:hAnsi="Calibri" w:cs="Calibri"/>
          <w:sz w:val="22"/>
          <w:szCs w:val="22"/>
        </w:rPr>
        <w:t xml:space="preserve"> </w:t>
      </w:r>
      <w:r w:rsidR="000867A4">
        <w:rPr>
          <w:rFonts w:ascii="Calibri" w:hAnsi="Calibri" w:cs="Calibri"/>
          <w:sz w:val="22"/>
          <w:szCs w:val="22"/>
        </w:rPr>
        <w:t>implementation of the fund</w:t>
      </w:r>
      <w:r w:rsidRPr="000436B3">
        <w:rPr>
          <w:rFonts w:ascii="Calibri" w:hAnsi="Calibri" w:cs="Calibri"/>
          <w:sz w:val="22"/>
          <w:szCs w:val="22"/>
        </w:rPr>
        <w:t xml:space="preserve"> upon the </w:t>
      </w:r>
      <w:r w:rsidR="000867A4">
        <w:rPr>
          <w:rFonts w:ascii="Calibri" w:hAnsi="Calibri" w:cs="Calibri"/>
          <w:sz w:val="22"/>
          <w:szCs w:val="22"/>
        </w:rPr>
        <w:t xml:space="preserve">request or </w:t>
      </w:r>
      <w:r w:rsidRPr="000436B3">
        <w:rPr>
          <w:rFonts w:ascii="Calibri" w:hAnsi="Calibri" w:cs="Calibri"/>
          <w:sz w:val="22"/>
          <w:szCs w:val="22"/>
        </w:rPr>
        <w:t>information provided by the applicant institution (dates, lists of participants, flight details etc).</w:t>
      </w:r>
    </w:p>
    <w:p w:rsidR="008E4284" w:rsidRDefault="001E436D" w:rsidP="008E4284">
      <w:pPr>
        <w:spacing w:before="120" w:after="120" w:line="240" w:lineRule="auto"/>
        <w:jc w:val="both"/>
        <w:rPr>
          <w:rFonts w:ascii="Calibri" w:hAnsi="Calibri" w:cs="Calibri"/>
          <w:sz w:val="22"/>
          <w:szCs w:val="22"/>
        </w:rPr>
      </w:pPr>
      <w:r>
        <w:rPr>
          <w:rFonts w:ascii="Calibri" w:hAnsi="Calibri" w:cs="Calibri"/>
          <w:sz w:val="22"/>
          <w:szCs w:val="22"/>
        </w:rPr>
        <w:t>Due to limited amou</w:t>
      </w:r>
      <w:r w:rsidR="00153BCB">
        <w:rPr>
          <w:rFonts w:ascii="Calibri" w:hAnsi="Calibri" w:cs="Calibri"/>
          <w:sz w:val="22"/>
          <w:szCs w:val="22"/>
        </w:rPr>
        <w:t>nt of bilateral fund</w:t>
      </w:r>
      <w:r>
        <w:rPr>
          <w:rFonts w:ascii="Calibri" w:hAnsi="Calibri" w:cs="Calibri"/>
          <w:sz w:val="22"/>
          <w:szCs w:val="22"/>
        </w:rPr>
        <w:t xml:space="preserve"> at the national level, the cost of the donor state entities will not be reimbursed, except cost</w:t>
      </w:r>
      <w:r w:rsidR="008E4284">
        <w:rPr>
          <w:rFonts w:ascii="Calibri" w:hAnsi="Calibri" w:cs="Calibri"/>
          <w:sz w:val="22"/>
          <w:szCs w:val="22"/>
        </w:rPr>
        <w:t xml:space="preserve">s of fees in donor countries and costs for participation of the Slovenian counterparts at conferences, seminars, courses, meetings and workshops </w:t>
      </w:r>
      <w:r w:rsidR="002B3ADC">
        <w:rPr>
          <w:rFonts w:ascii="Calibri" w:hAnsi="Calibri" w:cs="Calibri"/>
          <w:sz w:val="22"/>
          <w:szCs w:val="22"/>
        </w:rPr>
        <w:t>in the donor countries</w:t>
      </w:r>
      <w:r w:rsidR="00153BCB">
        <w:rPr>
          <w:rFonts w:ascii="Calibri" w:hAnsi="Calibri" w:cs="Calibri"/>
          <w:sz w:val="22"/>
          <w:szCs w:val="22"/>
        </w:rPr>
        <w:t xml:space="preserve"> and travel costs of donor states’ experts under condition that the allocated funds will be sufficient for organization of proposed activities. </w:t>
      </w:r>
      <w:r w:rsidR="008E4284" w:rsidRPr="000436B3">
        <w:rPr>
          <w:rFonts w:ascii="Calibri" w:hAnsi="Calibri" w:cs="Calibri"/>
          <w:sz w:val="22"/>
          <w:szCs w:val="22"/>
        </w:rPr>
        <w:t>The events will have to be free of charge in order to ensure as many participants as possible (depending on the event participation per o</w:t>
      </w:r>
      <w:r w:rsidR="008E4284">
        <w:rPr>
          <w:rFonts w:ascii="Calibri" w:hAnsi="Calibri" w:cs="Calibri"/>
          <w:sz w:val="22"/>
          <w:szCs w:val="22"/>
        </w:rPr>
        <w:t xml:space="preserve">ne institution can be limited). </w:t>
      </w:r>
    </w:p>
    <w:p w:rsidR="005E112D" w:rsidRPr="000436B3" w:rsidRDefault="005E112D" w:rsidP="000436B3">
      <w:pPr>
        <w:spacing w:before="120" w:after="120" w:line="240" w:lineRule="auto"/>
        <w:jc w:val="both"/>
        <w:rPr>
          <w:rFonts w:ascii="Calibri" w:hAnsi="Calibri" w:cs="Calibri"/>
          <w:sz w:val="22"/>
          <w:szCs w:val="22"/>
        </w:rPr>
      </w:pPr>
    </w:p>
    <w:p w:rsidR="002B5F6E" w:rsidRPr="004415B2" w:rsidRDefault="002B5F6E" w:rsidP="00153BCB">
      <w:pPr>
        <w:pStyle w:val="Naslov"/>
      </w:pPr>
      <w:r w:rsidRPr="004415B2">
        <w:t>Budget</w:t>
      </w:r>
    </w:p>
    <w:p w:rsidR="002B5F6E" w:rsidRPr="000436B3" w:rsidRDefault="002B5F6E" w:rsidP="002B5F6E">
      <w:pPr>
        <w:spacing w:before="120" w:after="120" w:line="240" w:lineRule="auto"/>
        <w:jc w:val="both"/>
        <w:rPr>
          <w:rFonts w:ascii="Calibri" w:hAnsi="Calibri" w:cs="Calibri"/>
          <w:sz w:val="22"/>
          <w:szCs w:val="22"/>
        </w:rPr>
      </w:pPr>
      <w:r w:rsidRPr="000436B3">
        <w:rPr>
          <w:rFonts w:ascii="Calibri" w:hAnsi="Calibri" w:cs="Calibri"/>
          <w:sz w:val="22"/>
          <w:szCs w:val="22"/>
        </w:rPr>
        <w:t>Please see the budget of already implemented activities and planned activities attached in Annex III.</w:t>
      </w:r>
    </w:p>
    <w:p w:rsidR="00016283" w:rsidRDefault="00016283">
      <w:pPr>
        <w:spacing w:line="240" w:lineRule="auto"/>
        <w:rPr>
          <w:rFonts w:ascii="Calibri" w:hAnsi="Calibri" w:cs="Calibri"/>
          <w:b/>
          <w:sz w:val="28"/>
          <w:szCs w:val="28"/>
        </w:rPr>
      </w:pPr>
    </w:p>
    <w:p w:rsidR="002B5F6E" w:rsidRDefault="002B5F6E">
      <w:pPr>
        <w:spacing w:line="240" w:lineRule="auto"/>
        <w:rPr>
          <w:rFonts w:asciiTheme="minorHAnsi" w:hAnsiTheme="minorHAnsi"/>
          <w:b/>
          <w:kern w:val="32"/>
          <w:sz w:val="24"/>
          <w:szCs w:val="32"/>
          <w:u w:val="single"/>
          <w:lang w:eastAsia="sl-SI"/>
        </w:rPr>
      </w:pPr>
    </w:p>
    <w:p w:rsidR="00AE1137" w:rsidRDefault="00AE1137">
      <w:pPr>
        <w:spacing w:line="240" w:lineRule="auto"/>
        <w:rPr>
          <w:rFonts w:asciiTheme="minorHAnsi" w:hAnsiTheme="minorHAnsi"/>
          <w:b/>
          <w:kern w:val="32"/>
          <w:sz w:val="24"/>
          <w:szCs w:val="32"/>
          <w:u w:val="single"/>
          <w:lang w:eastAsia="sl-SI"/>
        </w:rPr>
      </w:pPr>
      <w:r>
        <w:br w:type="page"/>
      </w:r>
    </w:p>
    <w:p w:rsidR="000436B3" w:rsidRPr="00445C68" w:rsidRDefault="008E4284" w:rsidP="00153BCB">
      <w:pPr>
        <w:pStyle w:val="Naslov"/>
      </w:pPr>
      <w:r>
        <w:lastRenderedPageBreak/>
        <w:t>Work Plan Annex I</w:t>
      </w:r>
      <w:r w:rsidR="00445C68" w:rsidRPr="00445C68">
        <w:t xml:space="preserve"> – Presentation of Priority areas</w:t>
      </w:r>
    </w:p>
    <w:p w:rsidR="000436B3" w:rsidRPr="001E7A55" w:rsidRDefault="000436B3" w:rsidP="00153BCB">
      <w:pPr>
        <w:pStyle w:val="Naslov2"/>
      </w:pPr>
      <w:r w:rsidRPr="001E7A55">
        <w:t xml:space="preserve">PRIORITY </w:t>
      </w:r>
      <w:r w:rsidR="008E26F4" w:rsidRPr="001E7A55">
        <w:t>2</w:t>
      </w:r>
      <w:r w:rsidR="001E7A55" w:rsidRPr="001E7A55">
        <w:tab/>
      </w:r>
      <w:r w:rsidR="00445C68" w:rsidRPr="001E7A55">
        <w:t>Co-operation in the field of health</w:t>
      </w:r>
    </w:p>
    <w:p w:rsidR="00445C68" w:rsidRPr="004E5259" w:rsidRDefault="00445C68" w:rsidP="000436B3">
      <w:pPr>
        <w:rPr>
          <w:rFonts w:asciiTheme="minorHAnsi" w:hAnsiTheme="minorHAnsi" w:cstheme="minorHAnsi"/>
          <w:b/>
          <w:sz w:val="22"/>
          <w:szCs w:val="22"/>
        </w:rPr>
      </w:pPr>
    </w:p>
    <w:p w:rsidR="000436B3" w:rsidRPr="004E5259" w:rsidRDefault="000436B3" w:rsidP="000436B3">
      <w:pPr>
        <w:rPr>
          <w:rFonts w:asciiTheme="minorHAnsi" w:hAnsiTheme="minorHAnsi" w:cstheme="minorHAnsi"/>
          <w:b/>
          <w:sz w:val="22"/>
          <w:szCs w:val="22"/>
        </w:rPr>
      </w:pPr>
      <w:r w:rsidRPr="004E5259">
        <w:rPr>
          <w:rFonts w:asciiTheme="minorHAnsi" w:hAnsiTheme="minorHAnsi" w:cstheme="minorHAnsi"/>
          <w:b/>
          <w:sz w:val="22"/>
          <w:szCs w:val="22"/>
        </w:rPr>
        <w:t>Priority sector</w:t>
      </w:r>
      <w:r w:rsidRPr="004E5259">
        <w:rPr>
          <w:rFonts w:asciiTheme="minorHAnsi" w:hAnsiTheme="minorHAnsi" w:cstheme="minorHAnsi"/>
          <w:sz w:val="22"/>
          <w:szCs w:val="22"/>
        </w:rPr>
        <w:t>: Human and Social Development</w:t>
      </w:r>
      <w:r w:rsidRPr="004E5259">
        <w:rPr>
          <w:rFonts w:asciiTheme="minorHAnsi" w:hAnsiTheme="minorHAnsi" w:cstheme="minorHAnsi"/>
          <w:sz w:val="22"/>
          <w:szCs w:val="22"/>
        </w:rPr>
        <w:br/>
      </w:r>
    </w:p>
    <w:p w:rsidR="000436B3" w:rsidRPr="004E5259" w:rsidRDefault="000436B3" w:rsidP="000436B3">
      <w:pPr>
        <w:rPr>
          <w:rFonts w:asciiTheme="minorHAnsi" w:hAnsiTheme="minorHAnsi" w:cstheme="minorHAnsi"/>
          <w:sz w:val="22"/>
          <w:szCs w:val="22"/>
        </w:rPr>
      </w:pPr>
      <w:r w:rsidRPr="004E5259">
        <w:rPr>
          <w:rFonts w:asciiTheme="minorHAnsi" w:hAnsiTheme="minorHAnsi" w:cstheme="minorHAnsi"/>
          <w:b/>
          <w:sz w:val="22"/>
          <w:szCs w:val="22"/>
        </w:rPr>
        <w:t>Type of activities</w:t>
      </w:r>
      <w:r w:rsidRPr="004E5259">
        <w:rPr>
          <w:rFonts w:asciiTheme="minorHAnsi" w:hAnsiTheme="minorHAnsi" w:cstheme="minorHAnsi"/>
          <w:sz w:val="22"/>
          <w:szCs w:val="22"/>
        </w:rPr>
        <w:t xml:space="preserve">: </w:t>
      </w:r>
    </w:p>
    <w:p w:rsidR="000436B3" w:rsidRPr="004E5259" w:rsidRDefault="000436B3" w:rsidP="000436B3">
      <w:pPr>
        <w:pStyle w:val="Odstavekseznama"/>
        <w:numPr>
          <w:ilvl w:val="0"/>
          <w:numId w:val="14"/>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Joint conference</w:t>
      </w:r>
      <w:r w:rsidRPr="004E5259">
        <w:rPr>
          <w:rFonts w:asciiTheme="minorHAnsi" w:hAnsiTheme="minorHAnsi" w:cstheme="minorHAnsi"/>
          <w:sz w:val="22"/>
          <w:szCs w:val="22"/>
        </w:rPr>
        <w:t xml:space="preserve"> for exchange of knowledge and best practices in the area of public health and primary health care focusing on reducing health inequalities;</w:t>
      </w:r>
    </w:p>
    <w:p w:rsidR="000436B3" w:rsidRPr="004E5259" w:rsidRDefault="000436B3" w:rsidP="000436B3">
      <w:pPr>
        <w:pStyle w:val="Odstavekseznama"/>
        <w:numPr>
          <w:ilvl w:val="0"/>
          <w:numId w:val="14"/>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Study visit</w:t>
      </w:r>
      <w:r w:rsidRPr="004E5259">
        <w:rPr>
          <w:rFonts w:asciiTheme="minorHAnsi" w:hAnsiTheme="minorHAnsi" w:cstheme="minorHAnsi"/>
          <w:sz w:val="22"/>
          <w:szCs w:val="22"/>
        </w:rPr>
        <w:t xml:space="preserve"> to the Norwegian National Centre for Telemedicine in Tromsø and other places in Oslo, dealing with telemedicine.</w:t>
      </w:r>
    </w:p>
    <w:p w:rsidR="000436B3" w:rsidRPr="004E5259" w:rsidRDefault="000436B3" w:rsidP="000436B3">
      <w:pPr>
        <w:rPr>
          <w:rFonts w:asciiTheme="minorHAnsi" w:hAnsiTheme="minorHAnsi" w:cstheme="minorHAnsi"/>
          <w:b/>
          <w:sz w:val="22"/>
          <w:szCs w:val="22"/>
        </w:rPr>
      </w:pPr>
    </w:p>
    <w:p w:rsidR="00AE1137" w:rsidRPr="00A62834" w:rsidRDefault="000436B3" w:rsidP="000436B3">
      <w:pPr>
        <w:rPr>
          <w:rFonts w:asciiTheme="minorHAnsi" w:hAnsiTheme="minorHAnsi" w:cstheme="minorHAnsi"/>
          <w:b/>
          <w:sz w:val="22"/>
          <w:szCs w:val="22"/>
        </w:rPr>
      </w:pPr>
      <w:r w:rsidRPr="004E5259">
        <w:rPr>
          <w:rFonts w:asciiTheme="minorHAnsi" w:hAnsiTheme="minorHAnsi" w:cstheme="minorHAnsi"/>
          <w:b/>
          <w:sz w:val="22"/>
          <w:szCs w:val="22"/>
        </w:rPr>
        <w:t>Organiser</w:t>
      </w:r>
      <w:r w:rsidRPr="00A62834">
        <w:rPr>
          <w:rFonts w:asciiTheme="minorHAnsi" w:hAnsiTheme="minorHAnsi" w:cstheme="minorHAnsi"/>
          <w:b/>
          <w:sz w:val="22"/>
          <w:szCs w:val="22"/>
        </w:rPr>
        <w:t xml:space="preserve">: </w:t>
      </w:r>
    </w:p>
    <w:p w:rsidR="00AE1137" w:rsidRDefault="00AE1137" w:rsidP="00AE1137">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Responsible institution</w:t>
      </w:r>
      <w:r>
        <w:rPr>
          <w:rFonts w:ascii="Calibri" w:hAnsi="Calibri" w:cs="Calibri"/>
          <w:sz w:val="22"/>
          <w:szCs w:val="22"/>
        </w:rPr>
        <w:t>: NFP (management, public procurement, organizational issues, payments and reporting);</w:t>
      </w:r>
    </w:p>
    <w:p w:rsidR="00AE1137" w:rsidRDefault="00AE1137" w:rsidP="00AE1137">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Applicant institution</w:t>
      </w:r>
      <w:r>
        <w:rPr>
          <w:rFonts w:ascii="Calibri" w:hAnsi="Calibri" w:cs="Calibri"/>
          <w:sz w:val="22"/>
          <w:szCs w:val="22"/>
        </w:rPr>
        <w:t>:</w:t>
      </w:r>
      <w:r w:rsidRPr="008963AC">
        <w:rPr>
          <w:rFonts w:ascii="Calibri" w:hAnsi="Calibri" w:cs="Calibri"/>
          <w:sz w:val="22"/>
          <w:szCs w:val="22"/>
        </w:rPr>
        <w:t xml:space="preserve"> </w:t>
      </w:r>
      <w:r w:rsidRPr="004E5259">
        <w:rPr>
          <w:rFonts w:asciiTheme="minorHAnsi" w:hAnsiTheme="minorHAnsi" w:cstheme="minorHAnsi"/>
          <w:sz w:val="22"/>
          <w:szCs w:val="22"/>
        </w:rPr>
        <w:t>, Ministry</w:t>
      </w:r>
      <w:r>
        <w:rPr>
          <w:rFonts w:asciiTheme="minorHAnsi" w:hAnsiTheme="minorHAnsi" w:cstheme="minorHAnsi"/>
          <w:sz w:val="22"/>
          <w:szCs w:val="22"/>
        </w:rPr>
        <w:t xml:space="preserve"> of Health </w:t>
      </w:r>
      <w:r w:rsidRPr="008963AC">
        <w:rPr>
          <w:rFonts w:ascii="Calibri" w:hAnsi="Calibri" w:cs="Calibri"/>
          <w:sz w:val="22"/>
          <w:szCs w:val="22"/>
        </w:rPr>
        <w:t>(Slovenia)</w:t>
      </w:r>
    </w:p>
    <w:p w:rsidR="00AE1137" w:rsidRPr="00AE1137" w:rsidRDefault="00AE1137" w:rsidP="000436B3">
      <w:pPr>
        <w:pStyle w:val="Odstavekseznama"/>
        <w:numPr>
          <w:ilvl w:val="0"/>
          <w:numId w:val="42"/>
        </w:numPr>
        <w:jc w:val="both"/>
        <w:rPr>
          <w:rFonts w:asciiTheme="minorHAnsi" w:hAnsiTheme="minorHAnsi" w:cstheme="minorHAnsi"/>
          <w:b/>
          <w:sz w:val="22"/>
          <w:szCs w:val="22"/>
        </w:rPr>
      </w:pPr>
      <w:r w:rsidRPr="00AE1137">
        <w:rPr>
          <w:rFonts w:ascii="Calibri" w:hAnsi="Calibri" w:cs="Calibri"/>
          <w:sz w:val="22"/>
          <w:szCs w:val="22"/>
          <w:u w:val="single"/>
        </w:rPr>
        <w:t>Other institutions involved in implementation of activities</w:t>
      </w:r>
      <w:r w:rsidRPr="00AE1137">
        <w:rPr>
          <w:rFonts w:ascii="Calibri" w:hAnsi="Calibri" w:cs="Calibri"/>
          <w:sz w:val="22"/>
          <w:szCs w:val="22"/>
        </w:rPr>
        <w:t xml:space="preserve">: </w:t>
      </w:r>
      <w:r w:rsidR="002B5F6E" w:rsidRPr="00AE1137">
        <w:rPr>
          <w:rFonts w:asciiTheme="minorHAnsi" w:hAnsiTheme="minorHAnsi" w:cstheme="minorHAnsi"/>
          <w:sz w:val="22"/>
          <w:szCs w:val="22"/>
        </w:rPr>
        <w:t>Ministries</w:t>
      </w:r>
      <w:r w:rsidR="000436B3" w:rsidRPr="00AE1137">
        <w:rPr>
          <w:rFonts w:asciiTheme="minorHAnsi" w:hAnsiTheme="minorHAnsi" w:cstheme="minorHAnsi"/>
          <w:sz w:val="22"/>
          <w:szCs w:val="22"/>
        </w:rPr>
        <w:t xml:space="preserve"> of Health in </w:t>
      </w:r>
      <w:r w:rsidR="00BB3B6A" w:rsidRPr="00AE1137">
        <w:rPr>
          <w:rFonts w:asciiTheme="minorHAnsi" w:hAnsiTheme="minorHAnsi" w:cstheme="minorHAnsi"/>
          <w:sz w:val="22"/>
          <w:szCs w:val="22"/>
        </w:rPr>
        <w:t>donor countries</w:t>
      </w:r>
      <w:r w:rsidR="000436B3" w:rsidRPr="00AE1137">
        <w:rPr>
          <w:rFonts w:asciiTheme="minorHAnsi" w:hAnsiTheme="minorHAnsi" w:cstheme="minorHAnsi"/>
          <w:sz w:val="22"/>
          <w:szCs w:val="22"/>
        </w:rPr>
        <w:t>, DPP and the Norwegian Embassy in Budapest</w:t>
      </w:r>
      <w:r w:rsidR="00445C68" w:rsidRPr="00AE1137">
        <w:rPr>
          <w:rFonts w:asciiTheme="minorHAnsi" w:hAnsiTheme="minorHAnsi" w:cstheme="minorHAnsi"/>
          <w:sz w:val="22"/>
          <w:szCs w:val="22"/>
        </w:rPr>
        <w:t>.</w:t>
      </w:r>
    </w:p>
    <w:p w:rsidR="000436B3" w:rsidRPr="00AE1137" w:rsidRDefault="000436B3" w:rsidP="00AE1137">
      <w:pPr>
        <w:jc w:val="both"/>
        <w:rPr>
          <w:rFonts w:asciiTheme="minorHAnsi" w:hAnsiTheme="minorHAnsi" w:cstheme="minorHAnsi"/>
          <w:b/>
          <w:sz w:val="22"/>
          <w:szCs w:val="22"/>
        </w:rPr>
      </w:pPr>
    </w:p>
    <w:p w:rsidR="000436B3" w:rsidRPr="004E5259" w:rsidRDefault="000436B3" w:rsidP="000436B3">
      <w:pPr>
        <w:rPr>
          <w:rFonts w:asciiTheme="minorHAnsi" w:hAnsiTheme="minorHAnsi" w:cstheme="minorHAnsi"/>
          <w:sz w:val="22"/>
          <w:szCs w:val="22"/>
        </w:rPr>
      </w:pPr>
      <w:r w:rsidRPr="004E5259">
        <w:rPr>
          <w:rFonts w:asciiTheme="minorHAnsi" w:hAnsiTheme="minorHAnsi" w:cstheme="minorHAnsi"/>
          <w:b/>
          <w:sz w:val="22"/>
          <w:szCs w:val="22"/>
        </w:rPr>
        <w:t>Possible time</w:t>
      </w:r>
      <w:r w:rsidRPr="004E5259">
        <w:rPr>
          <w:rFonts w:asciiTheme="minorHAnsi" w:hAnsiTheme="minorHAnsi" w:cstheme="minorHAnsi"/>
          <w:sz w:val="22"/>
          <w:szCs w:val="22"/>
        </w:rPr>
        <w:t xml:space="preserve">: </w:t>
      </w:r>
    </w:p>
    <w:p w:rsidR="00445C68" w:rsidRPr="004E5259" w:rsidRDefault="00445C68" w:rsidP="00445C68">
      <w:pPr>
        <w:pStyle w:val="Odstavekseznama"/>
        <w:numPr>
          <w:ilvl w:val="0"/>
          <w:numId w:val="16"/>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Telemedicine study visit</w:t>
      </w:r>
      <w:r w:rsidRPr="004E5259">
        <w:rPr>
          <w:rFonts w:asciiTheme="minorHAnsi" w:hAnsiTheme="minorHAnsi" w:cstheme="minorHAnsi"/>
          <w:sz w:val="22"/>
          <w:szCs w:val="22"/>
        </w:rPr>
        <w:t xml:space="preserve"> : October 2013</w:t>
      </w:r>
    </w:p>
    <w:p w:rsidR="000436B3" w:rsidRPr="004E5259" w:rsidRDefault="000436B3" w:rsidP="000436B3">
      <w:pPr>
        <w:pStyle w:val="Odstavekseznama"/>
        <w:numPr>
          <w:ilvl w:val="0"/>
          <w:numId w:val="16"/>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Health inequalities conference</w:t>
      </w:r>
      <w:r w:rsidRPr="004E5259">
        <w:rPr>
          <w:rFonts w:asciiTheme="minorHAnsi" w:hAnsiTheme="minorHAnsi" w:cstheme="minorHAnsi"/>
          <w:sz w:val="22"/>
          <w:szCs w:val="22"/>
        </w:rPr>
        <w:t>: Spring 2014</w:t>
      </w:r>
    </w:p>
    <w:p w:rsidR="000436B3" w:rsidRPr="004E5259" w:rsidRDefault="000436B3" w:rsidP="000436B3">
      <w:pPr>
        <w:rPr>
          <w:rFonts w:asciiTheme="minorHAnsi" w:hAnsiTheme="minorHAnsi" w:cstheme="minorHAnsi"/>
          <w:b/>
          <w:sz w:val="22"/>
          <w:szCs w:val="22"/>
        </w:rPr>
      </w:pPr>
    </w:p>
    <w:p w:rsidR="000436B3" w:rsidRPr="004E5259" w:rsidRDefault="000436B3" w:rsidP="000436B3">
      <w:pPr>
        <w:rPr>
          <w:rFonts w:asciiTheme="minorHAnsi" w:hAnsiTheme="minorHAnsi" w:cstheme="minorHAnsi"/>
          <w:sz w:val="22"/>
          <w:szCs w:val="22"/>
        </w:rPr>
      </w:pPr>
      <w:r w:rsidRPr="004E5259">
        <w:rPr>
          <w:rFonts w:asciiTheme="minorHAnsi" w:hAnsiTheme="minorHAnsi" w:cstheme="minorHAnsi"/>
          <w:b/>
          <w:sz w:val="22"/>
          <w:szCs w:val="22"/>
        </w:rPr>
        <w:t>Main goal</w:t>
      </w:r>
      <w:r w:rsidRPr="004E5259">
        <w:rPr>
          <w:rFonts w:asciiTheme="minorHAnsi" w:hAnsiTheme="minorHAnsi" w:cstheme="minorHAnsi"/>
          <w:sz w:val="22"/>
          <w:szCs w:val="22"/>
        </w:rPr>
        <w:t xml:space="preserve">: Further strengthening of bilateral co-operation between Slovenian and </w:t>
      </w:r>
      <w:r w:rsidR="00677762" w:rsidRPr="004E5259">
        <w:rPr>
          <w:rFonts w:asciiTheme="minorHAnsi" w:hAnsiTheme="minorHAnsi" w:cstheme="minorHAnsi"/>
          <w:sz w:val="22"/>
          <w:szCs w:val="22"/>
        </w:rPr>
        <w:t>donor countries</w:t>
      </w:r>
      <w:r w:rsidR="00677762">
        <w:rPr>
          <w:rFonts w:asciiTheme="minorHAnsi" w:hAnsiTheme="minorHAnsi" w:cstheme="minorHAnsi"/>
          <w:sz w:val="22"/>
          <w:szCs w:val="22"/>
        </w:rPr>
        <w:t>’</w:t>
      </w:r>
      <w:r w:rsidR="00677762" w:rsidRPr="004E5259">
        <w:rPr>
          <w:rFonts w:asciiTheme="minorHAnsi" w:hAnsiTheme="minorHAnsi" w:cstheme="minorHAnsi"/>
          <w:sz w:val="22"/>
          <w:szCs w:val="22"/>
        </w:rPr>
        <w:t xml:space="preserve"> </w:t>
      </w:r>
      <w:r w:rsidRPr="004E5259">
        <w:rPr>
          <w:rFonts w:asciiTheme="minorHAnsi" w:hAnsiTheme="minorHAnsi" w:cstheme="minorHAnsi"/>
          <w:sz w:val="22"/>
          <w:szCs w:val="22"/>
        </w:rPr>
        <w:t xml:space="preserve">ministries of health and further co-operation </w:t>
      </w:r>
      <w:r w:rsidR="00677762">
        <w:rPr>
          <w:rFonts w:asciiTheme="minorHAnsi" w:hAnsiTheme="minorHAnsi" w:cstheme="minorHAnsi"/>
          <w:sz w:val="22"/>
          <w:szCs w:val="22"/>
        </w:rPr>
        <w:t>through</w:t>
      </w:r>
      <w:r w:rsidRPr="004E5259">
        <w:rPr>
          <w:rFonts w:asciiTheme="minorHAnsi" w:hAnsiTheme="minorHAnsi" w:cstheme="minorHAnsi"/>
          <w:sz w:val="22"/>
          <w:szCs w:val="22"/>
        </w:rPr>
        <w:t>:</w:t>
      </w:r>
    </w:p>
    <w:p w:rsidR="000436B3" w:rsidRPr="004E5259" w:rsidRDefault="000436B3" w:rsidP="000436B3">
      <w:pPr>
        <w:pStyle w:val="Odstavekseznama"/>
        <w:numPr>
          <w:ilvl w:val="0"/>
          <w:numId w:val="17"/>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Health inequalities conference</w:t>
      </w:r>
      <w:r w:rsidRPr="004E5259">
        <w:rPr>
          <w:rFonts w:asciiTheme="minorHAnsi" w:hAnsiTheme="minorHAnsi" w:cstheme="minorHAnsi"/>
          <w:sz w:val="22"/>
          <w:szCs w:val="22"/>
        </w:rPr>
        <w:t xml:space="preserve">: to exchange best practices and evidence based interventions in Slovenia and </w:t>
      </w:r>
      <w:r w:rsidR="00445C68" w:rsidRPr="004E5259">
        <w:rPr>
          <w:rFonts w:asciiTheme="minorHAnsi" w:hAnsiTheme="minorHAnsi" w:cstheme="minorHAnsi"/>
          <w:sz w:val="22"/>
          <w:szCs w:val="22"/>
        </w:rPr>
        <w:t>donor countries</w:t>
      </w:r>
      <w:r w:rsidRPr="004E5259">
        <w:rPr>
          <w:rFonts w:asciiTheme="minorHAnsi" w:hAnsiTheme="minorHAnsi" w:cstheme="minorHAnsi"/>
          <w:sz w:val="22"/>
          <w:szCs w:val="22"/>
        </w:rPr>
        <w:t>;</w:t>
      </w:r>
    </w:p>
    <w:p w:rsidR="000436B3" w:rsidRPr="004E5259" w:rsidRDefault="000436B3" w:rsidP="000436B3">
      <w:pPr>
        <w:pStyle w:val="Odstavekseznama"/>
        <w:numPr>
          <w:ilvl w:val="0"/>
          <w:numId w:val="17"/>
        </w:numPr>
        <w:spacing w:line="276" w:lineRule="auto"/>
        <w:contextualSpacing/>
        <w:rPr>
          <w:rFonts w:asciiTheme="minorHAnsi" w:hAnsiTheme="minorHAnsi" w:cstheme="minorHAnsi"/>
          <w:sz w:val="22"/>
          <w:szCs w:val="22"/>
        </w:rPr>
      </w:pPr>
      <w:r w:rsidRPr="004E5259">
        <w:rPr>
          <w:rFonts w:asciiTheme="minorHAnsi" w:hAnsiTheme="minorHAnsi" w:cstheme="minorHAnsi"/>
          <w:sz w:val="22"/>
          <w:szCs w:val="22"/>
          <w:u w:val="single"/>
        </w:rPr>
        <w:t>Telemedicine study visit</w:t>
      </w:r>
      <w:r w:rsidRPr="004E5259">
        <w:rPr>
          <w:rFonts w:asciiTheme="minorHAnsi" w:hAnsiTheme="minorHAnsi" w:cstheme="minorHAnsi"/>
          <w:sz w:val="22"/>
          <w:szCs w:val="22"/>
        </w:rPr>
        <w:t>: to introduce donor countr</w:t>
      </w:r>
      <w:r w:rsidR="00445C68" w:rsidRPr="004E5259">
        <w:rPr>
          <w:rFonts w:asciiTheme="minorHAnsi" w:hAnsiTheme="minorHAnsi" w:cstheme="minorHAnsi"/>
          <w:sz w:val="22"/>
          <w:szCs w:val="22"/>
        </w:rPr>
        <w:t>ies’ best practices regarding e-</w:t>
      </w:r>
      <w:r w:rsidRPr="004E5259">
        <w:rPr>
          <w:rFonts w:asciiTheme="minorHAnsi" w:hAnsiTheme="minorHAnsi" w:cstheme="minorHAnsi"/>
          <w:sz w:val="22"/>
          <w:szCs w:val="22"/>
        </w:rPr>
        <w:t>health and telemedicine.</w:t>
      </w:r>
    </w:p>
    <w:p w:rsidR="000436B3" w:rsidRPr="004E5259" w:rsidRDefault="000436B3" w:rsidP="000436B3">
      <w:pPr>
        <w:rPr>
          <w:rFonts w:asciiTheme="minorHAnsi" w:hAnsiTheme="minorHAnsi" w:cstheme="minorHAnsi"/>
          <w:b/>
          <w:sz w:val="22"/>
          <w:szCs w:val="22"/>
        </w:rPr>
      </w:pPr>
    </w:p>
    <w:p w:rsidR="000436B3" w:rsidRPr="004E5259" w:rsidRDefault="000436B3" w:rsidP="000436B3">
      <w:pPr>
        <w:rPr>
          <w:rFonts w:asciiTheme="minorHAnsi" w:hAnsiTheme="minorHAnsi" w:cstheme="minorHAnsi"/>
          <w:sz w:val="22"/>
          <w:szCs w:val="22"/>
          <w:u w:val="single"/>
        </w:rPr>
      </w:pPr>
      <w:r w:rsidRPr="004E5259">
        <w:rPr>
          <w:rFonts w:asciiTheme="minorHAnsi" w:hAnsiTheme="minorHAnsi" w:cstheme="minorHAnsi"/>
          <w:b/>
          <w:sz w:val="22"/>
          <w:szCs w:val="22"/>
        </w:rPr>
        <w:t>Target groups:</w:t>
      </w:r>
    </w:p>
    <w:p w:rsidR="000436B3" w:rsidRPr="004E5259" w:rsidRDefault="000436B3" w:rsidP="000436B3">
      <w:pPr>
        <w:pStyle w:val="Odstavekseznama"/>
        <w:numPr>
          <w:ilvl w:val="0"/>
          <w:numId w:val="15"/>
        </w:numPr>
        <w:spacing w:line="240" w:lineRule="auto"/>
        <w:contextualSpacing/>
        <w:jc w:val="both"/>
        <w:rPr>
          <w:rFonts w:asciiTheme="minorHAnsi" w:hAnsiTheme="minorHAnsi" w:cstheme="minorHAnsi"/>
          <w:sz w:val="22"/>
          <w:szCs w:val="22"/>
        </w:rPr>
      </w:pPr>
      <w:r w:rsidRPr="004E5259">
        <w:rPr>
          <w:rFonts w:asciiTheme="minorHAnsi" w:hAnsiTheme="minorHAnsi" w:cstheme="minorHAnsi"/>
          <w:sz w:val="22"/>
          <w:szCs w:val="22"/>
          <w:u w:val="single"/>
        </w:rPr>
        <w:t>Health inequalities conference</w:t>
      </w:r>
      <w:r w:rsidRPr="004E5259">
        <w:rPr>
          <w:rFonts w:asciiTheme="minorHAnsi" w:hAnsiTheme="minorHAnsi" w:cstheme="minorHAnsi"/>
          <w:sz w:val="22"/>
          <w:szCs w:val="22"/>
        </w:rPr>
        <w:t>: Local and national level decision makers; service providers, NGO-s, practitioners working in the field of public health and primary health care, social services and education, representatives from the Ministry of Finance d</w:t>
      </w:r>
      <w:r w:rsidR="002B5F6E">
        <w:rPr>
          <w:rFonts w:asciiTheme="minorHAnsi" w:hAnsiTheme="minorHAnsi" w:cstheme="minorHAnsi"/>
          <w:sz w:val="22"/>
          <w:szCs w:val="22"/>
        </w:rPr>
        <w:t>ealing with income inequalities from Republic in Slovenia and donor countries.</w:t>
      </w:r>
    </w:p>
    <w:p w:rsidR="000436B3" w:rsidRPr="004E5259" w:rsidRDefault="000436B3" w:rsidP="000436B3">
      <w:pPr>
        <w:pStyle w:val="Odstavekseznama"/>
        <w:numPr>
          <w:ilvl w:val="0"/>
          <w:numId w:val="15"/>
        </w:numPr>
        <w:spacing w:line="240" w:lineRule="auto"/>
        <w:contextualSpacing/>
        <w:jc w:val="both"/>
        <w:rPr>
          <w:rFonts w:asciiTheme="minorHAnsi" w:hAnsiTheme="minorHAnsi" w:cstheme="minorHAnsi"/>
          <w:sz w:val="22"/>
          <w:szCs w:val="22"/>
        </w:rPr>
      </w:pPr>
      <w:r w:rsidRPr="004E5259">
        <w:rPr>
          <w:rFonts w:asciiTheme="minorHAnsi" w:hAnsiTheme="minorHAnsi" w:cstheme="minorHAnsi"/>
          <w:sz w:val="22"/>
          <w:szCs w:val="22"/>
          <w:u w:val="single"/>
        </w:rPr>
        <w:t>Telemedicine study visit</w:t>
      </w:r>
      <w:r w:rsidRPr="004E5259">
        <w:rPr>
          <w:rFonts w:asciiTheme="minorHAnsi" w:hAnsiTheme="minorHAnsi" w:cstheme="minorHAnsi"/>
          <w:sz w:val="22"/>
          <w:szCs w:val="22"/>
        </w:rPr>
        <w:t>: national level decision makers; service providers;</w:t>
      </w:r>
    </w:p>
    <w:p w:rsidR="000436B3" w:rsidRPr="004E5259" w:rsidRDefault="000436B3" w:rsidP="000436B3">
      <w:pPr>
        <w:spacing w:line="240" w:lineRule="auto"/>
        <w:rPr>
          <w:rFonts w:asciiTheme="minorHAnsi" w:hAnsiTheme="minorHAnsi" w:cstheme="minorHAnsi"/>
          <w:b/>
          <w:sz w:val="22"/>
          <w:szCs w:val="22"/>
        </w:rPr>
      </w:pPr>
    </w:p>
    <w:p w:rsidR="00445C68" w:rsidRPr="004E5259" w:rsidRDefault="000436B3" w:rsidP="00445C68">
      <w:pPr>
        <w:spacing w:line="240" w:lineRule="auto"/>
        <w:jc w:val="both"/>
        <w:rPr>
          <w:rFonts w:asciiTheme="minorHAnsi" w:hAnsiTheme="minorHAnsi" w:cstheme="minorHAnsi"/>
          <w:sz w:val="22"/>
          <w:szCs w:val="22"/>
        </w:rPr>
      </w:pPr>
      <w:r w:rsidRPr="004E5259">
        <w:rPr>
          <w:rFonts w:asciiTheme="minorHAnsi" w:hAnsiTheme="minorHAnsi" w:cstheme="minorHAnsi"/>
          <w:b/>
          <w:sz w:val="22"/>
          <w:szCs w:val="22"/>
        </w:rPr>
        <w:t>Justification:</w:t>
      </w:r>
      <w:r w:rsidRPr="004E5259">
        <w:rPr>
          <w:rFonts w:asciiTheme="minorHAnsi" w:hAnsiTheme="minorHAnsi" w:cstheme="minorHAnsi"/>
          <w:sz w:val="22"/>
          <w:szCs w:val="22"/>
        </w:rPr>
        <w:t xml:space="preserve">  </w:t>
      </w:r>
    </w:p>
    <w:p w:rsidR="000436B3" w:rsidRPr="004E5259" w:rsidRDefault="000436B3" w:rsidP="00445C68">
      <w:pPr>
        <w:spacing w:line="240" w:lineRule="auto"/>
        <w:jc w:val="both"/>
        <w:rPr>
          <w:rFonts w:asciiTheme="minorHAnsi" w:hAnsiTheme="minorHAnsi" w:cstheme="minorHAnsi"/>
          <w:sz w:val="22"/>
          <w:szCs w:val="22"/>
        </w:rPr>
      </w:pPr>
      <w:r w:rsidRPr="004E5259">
        <w:rPr>
          <w:rFonts w:asciiTheme="minorHAnsi" w:hAnsiTheme="minorHAnsi" w:cstheme="minorHAnsi"/>
          <w:sz w:val="22"/>
          <w:szCs w:val="22"/>
        </w:rPr>
        <w:t xml:space="preserve">The topic has been proposed by the Norwegian Embassy in Budapest. It will represent also a follow-up of the </w:t>
      </w:r>
      <w:r w:rsidR="00677762">
        <w:rPr>
          <w:rFonts w:asciiTheme="minorHAnsi" w:hAnsiTheme="minorHAnsi" w:cstheme="minorHAnsi"/>
          <w:sz w:val="22"/>
          <w:szCs w:val="22"/>
        </w:rPr>
        <w:t xml:space="preserve">Oslo </w:t>
      </w:r>
      <w:r w:rsidRPr="004E5259">
        <w:rPr>
          <w:rFonts w:asciiTheme="minorHAnsi" w:hAnsiTheme="minorHAnsi" w:cstheme="minorHAnsi"/>
          <w:sz w:val="22"/>
          <w:szCs w:val="22"/>
        </w:rPr>
        <w:t>meeting between the health ministers in autumn 2011. It will complement the Programme of the Norwegian Financial Mechanism, which covers the programme area “Public health initiatives”. The conference on health inequalities and evidence-based strategies for their reduction is very much needed since it is linked to the main aims of the programme and includes a variety of issues outside the health sector. It will focus on experience and best practices in tackling health inequalities in health in particular in the area of public health and primary health care. In addition the positive examples of cross-sectoral collaboration will be highlighted. The study visit will be a good opportunity to exchange the experiences, good practices and obstacles in the proposed area.</w:t>
      </w:r>
    </w:p>
    <w:p w:rsidR="00445C68" w:rsidRPr="004E5259" w:rsidRDefault="00445C68" w:rsidP="00445C68">
      <w:pPr>
        <w:spacing w:line="240" w:lineRule="auto"/>
        <w:jc w:val="both"/>
        <w:rPr>
          <w:rFonts w:asciiTheme="minorHAnsi" w:hAnsiTheme="minorHAnsi" w:cstheme="minorHAnsi"/>
          <w:sz w:val="22"/>
          <w:szCs w:val="22"/>
        </w:rPr>
      </w:pPr>
    </w:p>
    <w:p w:rsidR="00445C68" w:rsidRPr="004E5259" w:rsidRDefault="00445C68" w:rsidP="00445C68">
      <w:pPr>
        <w:jc w:val="both"/>
        <w:rPr>
          <w:rFonts w:asciiTheme="minorHAnsi" w:hAnsiTheme="minorHAnsi" w:cstheme="minorHAnsi"/>
          <w:sz w:val="22"/>
          <w:szCs w:val="22"/>
        </w:rPr>
      </w:pPr>
      <w:r w:rsidRPr="004E5259">
        <w:rPr>
          <w:rFonts w:asciiTheme="minorHAnsi" w:hAnsiTheme="minorHAnsi" w:cstheme="minorHAnsi"/>
          <w:sz w:val="22"/>
          <w:szCs w:val="22"/>
        </w:rPr>
        <w:lastRenderedPageBreak/>
        <w:t xml:space="preserve">The theme on health inequalities is an overarching issue that includes social, political and economic policies, wider societal factors and microstructural conditions.  We aspire to share, review and discuss the links across government and explain the impact of the economic recession, austerity measures and the decline of the welfare state on health equities. </w:t>
      </w:r>
      <w:r w:rsidR="001E7A55" w:rsidRPr="004E5259">
        <w:rPr>
          <w:rFonts w:asciiTheme="minorHAnsi" w:hAnsiTheme="minorHAnsi" w:cstheme="minorHAnsi"/>
          <w:sz w:val="22"/>
          <w:szCs w:val="22"/>
        </w:rPr>
        <w:t>T</w:t>
      </w:r>
      <w:r w:rsidRPr="004E5259">
        <w:rPr>
          <w:rFonts w:asciiTheme="minorHAnsi" w:hAnsiTheme="minorHAnsi" w:cstheme="minorHAnsi"/>
          <w:sz w:val="22"/>
          <w:szCs w:val="22"/>
        </w:rPr>
        <w:t>he debate will strengthen the cooperation regarding this important concern and relations between Republic of Slovenia and donor states.</w:t>
      </w:r>
    </w:p>
    <w:p w:rsidR="001E7A55" w:rsidRPr="004E5259" w:rsidRDefault="001E7A55" w:rsidP="00445C68">
      <w:pPr>
        <w:jc w:val="both"/>
        <w:rPr>
          <w:rFonts w:asciiTheme="minorHAnsi" w:hAnsiTheme="minorHAnsi" w:cstheme="minorHAnsi"/>
          <w:sz w:val="22"/>
          <w:szCs w:val="22"/>
        </w:rPr>
      </w:pPr>
    </w:p>
    <w:p w:rsidR="00445C68" w:rsidRPr="004E5259" w:rsidRDefault="00445C68" w:rsidP="00445C68">
      <w:pPr>
        <w:jc w:val="both"/>
        <w:rPr>
          <w:rFonts w:asciiTheme="minorHAnsi" w:hAnsiTheme="minorHAnsi" w:cstheme="minorHAnsi"/>
          <w:sz w:val="22"/>
          <w:szCs w:val="22"/>
        </w:rPr>
      </w:pPr>
      <w:r w:rsidRPr="004E5259">
        <w:rPr>
          <w:rFonts w:asciiTheme="minorHAnsi" w:hAnsiTheme="minorHAnsi" w:cstheme="minorHAnsi"/>
          <w:sz w:val="22"/>
          <w:szCs w:val="22"/>
        </w:rPr>
        <w:t xml:space="preserve">Activities planned </w:t>
      </w:r>
      <w:r w:rsidR="001E7A55" w:rsidRPr="004E5259">
        <w:rPr>
          <w:rFonts w:asciiTheme="minorHAnsi" w:hAnsiTheme="minorHAnsi" w:cstheme="minorHAnsi"/>
          <w:sz w:val="22"/>
          <w:szCs w:val="22"/>
        </w:rPr>
        <w:t>under bilateral funds of SI05</w:t>
      </w:r>
      <w:r w:rsidRPr="004E5259">
        <w:rPr>
          <w:rFonts w:asciiTheme="minorHAnsi" w:hAnsiTheme="minorHAnsi" w:cstheme="minorHAnsi"/>
          <w:sz w:val="22"/>
          <w:szCs w:val="22"/>
        </w:rPr>
        <w:t xml:space="preserve"> programme and </w:t>
      </w:r>
      <w:r w:rsidR="001E7A55" w:rsidRPr="004E5259">
        <w:rPr>
          <w:rFonts w:asciiTheme="minorHAnsi" w:hAnsiTheme="minorHAnsi" w:cstheme="minorHAnsi"/>
          <w:sz w:val="22"/>
          <w:szCs w:val="22"/>
        </w:rPr>
        <w:t xml:space="preserve">under the Bilateral fund at national level </w:t>
      </w:r>
      <w:r w:rsidRPr="004E5259">
        <w:rPr>
          <w:rFonts w:asciiTheme="minorHAnsi" w:hAnsiTheme="minorHAnsi" w:cstheme="minorHAnsi"/>
          <w:sz w:val="22"/>
          <w:szCs w:val="22"/>
        </w:rPr>
        <w:t>are complementary. The conference on health inequalities and evidence-based strategies is directly linked to the main aims of the programme: strengthening public health workforce capacity in the area of public health and health inequalities and scaling up effective programs for vulnerable groups. The conference will provide the opportunity to exchange best practices and evidence based interventions, while</w:t>
      </w:r>
      <w:r w:rsidR="001E7A55" w:rsidRPr="004E5259">
        <w:rPr>
          <w:rFonts w:asciiTheme="minorHAnsi" w:hAnsiTheme="minorHAnsi" w:cstheme="minorHAnsi"/>
          <w:sz w:val="22"/>
          <w:szCs w:val="22"/>
        </w:rPr>
        <w:t xml:space="preserve"> the</w:t>
      </w:r>
      <w:r w:rsidRPr="004E5259">
        <w:rPr>
          <w:rFonts w:asciiTheme="minorHAnsi" w:hAnsiTheme="minorHAnsi" w:cstheme="minorHAnsi"/>
          <w:sz w:val="22"/>
          <w:szCs w:val="22"/>
        </w:rPr>
        <w:t xml:space="preserve"> program activities are targeted at the development and implementation of prevention programs.</w:t>
      </w:r>
    </w:p>
    <w:p w:rsidR="00445C68" w:rsidRPr="004E5259" w:rsidRDefault="00445C68" w:rsidP="00445C68">
      <w:pPr>
        <w:rPr>
          <w:rFonts w:asciiTheme="minorHAnsi" w:hAnsiTheme="minorHAnsi" w:cstheme="minorHAnsi"/>
          <w:sz w:val="22"/>
          <w:szCs w:val="22"/>
        </w:rPr>
      </w:pPr>
    </w:p>
    <w:p w:rsidR="000436B3" w:rsidRPr="004E5259" w:rsidRDefault="000436B3" w:rsidP="000436B3">
      <w:pPr>
        <w:autoSpaceDE w:val="0"/>
        <w:autoSpaceDN w:val="0"/>
        <w:adjustRightInd w:val="0"/>
        <w:spacing w:line="240" w:lineRule="auto"/>
        <w:rPr>
          <w:rFonts w:asciiTheme="minorHAnsi" w:hAnsiTheme="minorHAnsi" w:cstheme="minorHAnsi"/>
          <w:b/>
          <w:sz w:val="22"/>
          <w:szCs w:val="22"/>
        </w:rPr>
      </w:pPr>
      <w:r w:rsidRPr="004E5259">
        <w:rPr>
          <w:rFonts w:asciiTheme="minorHAnsi" w:hAnsiTheme="minorHAnsi" w:cstheme="minorHAnsi"/>
          <w:b/>
          <w:sz w:val="22"/>
          <w:szCs w:val="22"/>
        </w:rPr>
        <w:t>Expected results:</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 xml:space="preserve">Contacts between Slovenian and </w:t>
      </w:r>
      <w:r w:rsidR="002B5F6E">
        <w:rPr>
          <w:rFonts w:asciiTheme="minorHAnsi" w:hAnsiTheme="minorHAnsi" w:cstheme="minorHAnsi"/>
          <w:sz w:val="22"/>
          <w:szCs w:val="22"/>
        </w:rPr>
        <w:t>donor countries</w:t>
      </w:r>
      <w:r w:rsidRPr="004E5259">
        <w:rPr>
          <w:rFonts w:asciiTheme="minorHAnsi" w:hAnsiTheme="minorHAnsi" w:cstheme="minorHAnsi"/>
          <w:sz w:val="22"/>
          <w:szCs w:val="22"/>
        </w:rPr>
        <w:t xml:space="preserve"> government</w:t>
      </w:r>
      <w:r w:rsidR="002B5F6E">
        <w:rPr>
          <w:rFonts w:asciiTheme="minorHAnsi" w:hAnsiTheme="minorHAnsi" w:cstheme="minorHAnsi"/>
          <w:sz w:val="22"/>
          <w:szCs w:val="22"/>
        </w:rPr>
        <w:t>s</w:t>
      </w:r>
      <w:r w:rsidRPr="004E5259">
        <w:rPr>
          <w:rFonts w:asciiTheme="minorHAnsi" w:hAnsiTheme="minorHAnsi" w:cstheme="minorHAnsi"/>
          <w:sz w:val="22"/>
          <w:szCs w:val="22"/>
        </w:rPr>
        <w:t>, research institutions an</w:t>
      </w:r>
      <w:r w:rsidR="002B5F6E">
        <w:rPr>
          <w:rFonts w:asciiTheme="minorHAnsi" w:hAnsiTheme="minorHAnsi" w:cstheme="minorHAnsi"/>
          <w:sz w:val="22"/>
          <w:szCs w:val="22"/>
        </w:rPr>
        <w:t>d academics will be established;</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High-quality implementation of the projects/programmes;</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 xml:space="preserve">The expert presentations (open lectures of Slovenian </w:t>
      </w:r>
      <w:r w:rsidR="002B5F6E">
        <w:rPr>
          <w:rFonts w:asciiTheme="minorHAnsi" w:hAnsiTheme="minorHAnsi" w:cstheme="minorHAnsi"/>
          <w:sz w:val="22"/>
          <w:szCs w:val="22"/>
        </w:rPr>
        <w:t xml:space="preserve">and donor countries </w:t>
      </w:r>
      <w:r w:rsidRPr="004E5259">
        <w:rPr>
          <w:rFonts w:asciiTheme="minorHAnsi" w:hAnsiTheme="minorHAnsi" w:cstheme="minorHAnsi"/>
          <w:sz w:val="22"/>
          <w:szCs w:val="22"/>
        </w:rPr>
        <w:t>experts) are expected to have a positive impact on projects/programmes implementation and to ease the net</w:t>
      </w:r>
      <w:r w:rsidR="002B5F6E">
        <w:rPr>
          <w:rFonts w:asciiTheme="minorHAnsi" w:hAnsiTheme="minorHAnsi" w:cstheme="minorHAnsi"/>
          <w:sz w:val="22"/>
          <w:szCs w:val="22"/>
        </w:rPr>
        <w:t>working and expert cooperation;</w:t>
      </w:r>
      <w:r w:rsidRPr="004E5259">
        <w:rPr>
          <w:rFonts w:asciiTheme="minorHAnsi" w:hAnsiTheme="minorHAnsi" w:cstheme="minorHAnsi"/>
          <w:sz w:val="22"/>
          <w:szCs w:val="22"/>
        </w:rPr>
        <w:t xml:space="preserve"> </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 xml:space="preserve">New perspectives and opportunities for discussions, mutual learning and future dialogue; </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Exchange of i</w:t>
      </w:r>
      <w:r w:rsidR="002B5F6E">
        <w:rPr>
          <w:rFonts w:asciiTheme="minorHAnsi" w:hAnsiTheme="minorHAnsi" w:cstheme="minorHAnsi"/>
          <w:sz w:val="22"/>
          <w:szCs w:val="22"/>
        </w:rPr>
        <w:t>deas, experiences and solutions;</w:t>
      </w:r>
    </w:p>
    <w:p w:rsidR="000436B3" w:rsidRPr="004E5259" w:rsidRDefault="000436B3" w:rsidP="000436B3">
      <w:pPr>
        <w:numPr>
          <w:ilvl w:val="0"/>
          <w:numId w:val="11"/>
        </w:numPr>
        <w:spacing w:line="240" w:lineRule="auto"/>
        <w:ind w:left="357" w:hanging="357"/>
        <w:jc w:val="both"/>
        <w:rPr>
          <w:rFonts w:asciiTheme="minorHAnsi" w:hAnsiTheme="minorHAnsi" w:cstheme="minorHAnsi"/>
          <w:sz w:val="22"/>
          <w:szCs w:val="22"/>
        </w:rPr>
      </w:pPr>
      <w:r w:rsidRPr="004E5259">
        <w:rPr>
          <w:rFonts w:asciiTheme="minorHAnsi" w:hAnsiTheme="minorHAnsi" w:cstheme="minorHAnsi"/>
          <w:sz w:val="22"/>
          <w:szCs w:val="22"/>
        </w:rPr>
        <w:t>Increased awareness of the EEA and Norway Grants</w:t>
      </w:r>
      <w:r w:rsidR="002B5F6E">
        <w:rPr>
          <w:rFonts w:asciiTheme="minorHAnsi" w:hAnsiTheme="minorHAnsi" w:cstheme="minorHAnsi"/>
          <w:sz w:val="22"/>
          <w:szCs w:val="22"/>
        </w:rPr>
        <w:t>.</w:t>
      </w:r>
    </w:p>
    <w:p w:rsidR="000436B3" w:rsidRPr="004E5259" w:rsidRDefault="000436B3" w:rsidP="000436B3">
      <w:pPr>
        <w:spacing w:line="240" w:lineRule="auto"/>
        <w:rPr>
          <w:rFonts w:asciiTheme="minorHAnsi" w:hAnsiTheme="minorHAnsi" w:cstheme="minorHAnsi"/>
          <w:b/>
          <w:sz w:val="22"/>
          <w:szCs w:val="22"/>
        </w:rPr>
      </w:pPr>
    </w:p>
    <w:p w:rsidR="000436B3" w:rsidRPr="004E5259" w:rsidRDefault="000436B3" w:rsidP="000436B3">
      <w:pPr>
        <w:spacing w:line="240" w:lineRule="auto"/>
        <w:rPr>
          <w:rFonts w:asciiTheme="minorHAnsi" w:hAnsiTheme="minorHAnsi" w:cstheme="minorHAnsi"/>
          <w:sz w:val="22"/>
          <w:szCs w:val="22"/>
        </w:rPr>
      </w:pPr>
      <w:r w:rsidRPr="004E5259">
        <w:rPr>
          <w:rFonts w:asciiTheme="minorHAnsi" w:hAnsiTheme="minorHAnsi" w:cstheme="minorHAnsi"/>
          <w:b/>
          <w:sz w:val="22"/>
          <w:szCs w:val="22"/>
        </w:rPr>
        <w:t>Indicative budget</w:t>
      </w:r>
      <w:r w:rsidRPr="004E5259">
        <w:rPr>
          <w:rFonts w:asciiTheme="minorHAnsi" w:hAnsiTheme="minorHAnsi" w:cstheme="minorHAnsi"/>
          <w:sz w:val="22"/>
          <w:szCs w:val="22"/>
        </w:rPr>
        <w:t xml:space="preserve">: </w:t>
      </w:r>
    </w:p>
    <w:p w:rsidR="001E7A55" w:rsidRPr="004E5259" w:rsidRDefault="001E7A55" w:rsidP="001E7A55">
      <w:pPr>
        <w:pStyle w:val="Odstavekseznama"/>
        <w:numPr>
          <w:ilvl w:val="0"/>
          <w:numId w:val="18"/>
        </w:numPr>
        <w:spacing w:line="240" w:lineRule="auto"/>
        <w:contextualSpacing/>
        <w:jc w:val="both"/>
        <w:rPr>
          <w:rFonts w:asciiTheme="minorHAnsi" w:hAnsiTheme="minorHAnsi" w:cstheme="minorHAnsi"/>
          <w:sz w:val="22"/>
          <w:szCs w:val="22"/>
        </w:rPr>
      </w:pPr>
      <w:r w:rsidRPr="004E5259">
        <w:rPr>
          <w:rFonts w:asciiTheme="minorHAnsi" w:hAnsiTheme="minorHAnsi" w:cstheme="minorHAnsi"/>
          <w:sz w:val="22"/>
          <w:szCs w:val="22"/>
          <w:u w:val="single"/>
        </w:rPr>
        <w:t>Telemedicine study visit</w:t>
      </w:r>
      <w:r w:rsidRPr="004E5259">
        <w:rPr>
          <w:rFonts w:asciiTheme="minorHAnsi" w:hAnsiTheme="minorHAnsi" w:cstheme="minorHAnsi"/>
          <w:sz w:val="22"/>
          <w:szCs w:val="22"/>
        </w:rPr>
        <w:t>: 12,000 EUR</w:t>
      </w:r>
    </w:p>
    <w:p w:rsidR="001E7A55" w:rsidRPr="004E5259" w:rsidRDefault="001E7A55" w:rsidP="001E7A55">
      <w:pPr>
        <w:pStyle w:val="Odstavekseznama"/>
        <w:numPr>
          <w:ilvl w:val="0"/>
          <w:numId w:val="18"/>
        </w:numPr>
        <w:spacing w:line="240" w:lineRule="auto"/>
        <w:contextualSpacing/>
        <w:jc w:val="both"/>
        <w:rPr>
          <w:rFonts w:asciiTheme="minorHAnsi" w:hAnsiTheme="minorHAnsi" w:cstheme="minorHAnsi"/>
          <w:sz w:val="22"/>
          <w:szCs w:val="22"/>
        </w:rPr>
      </w:pPr>
      <w:r w:rsidRPr="004E5259">
        <w:rPr>
          <w:rFonts w:asciiTheme="minorHAnsi" w:hAnsiTheme="minorHAnsi" w:cstheme="minorHAnsi"/>
          <w:sz w:val="22"/>
          <w:szCs w:val="22"/>
          <w:u w:val="single"/>
        </w:rPr>
        <w:t>Health inequalities conference</w:t>
      </w:r>
      <w:r w:rsidRPr="004E5259">
        <w:rPr>
          <w:rFonts w:asciiTheme="minorHAnsi" w:hAnsiTheme="minorHAnsi" w:cstheme="minorHAnsi"/>
          <w:sz w:val="22"/>
          <w:szCs w:val="22"/>
        </w:rPr>
        <w:t>: 18,000 EUR</w:t>
      </w:r>
    </w:p>
    <w:p w:rsidR="000436B3" w:rsidRPr="004E5259" w:rsidRDefault="000436B3" w:rsidP="001E7A55">
      <w:pPr>
        <w:spacing w:line="240" w:lineRule="auto"/>
        <w:rPr>
          <w:rFonts w:asciiTheme="minorHAnsi" w:hAnsiTheme="minorHAnsi" w:cstheme="minorHAnsi"/>
          <w:b/>
          <w:sz w:val="22"/>
          <w:szCs w:val="22"/>
        </w:rPr>
      </w:pPr>
      <w:r w:rsidRPr="004E5259">
        <w:rPr>
          <w:rFonts w:asciiTheme="minorHAnsi" w:hAnsiTheme="minorHAnsi" w:cstheme="minorHAnsi"/>
          <w:b/>
          <w:sz w:val="22"/>
          <w:szCs w:val="22"/>
        </w:rPr>
        <w:t>TOTAL: 30,000 EUR</w:t>
      </w:r>
    </w:p>
    <w:p w:rsidR="000436B3" w:rsidRPr="000436B3" w:rsidRDefault="000436B3" w:rsidP="000436B3">
      <w:pPr>
        <w:spacing w:line="240" w:lineRule="auto"/>
        <w:rPr>
          <w:rFonts w:ascii="Calibri" w:hAnsi="Calibri" w:cs="Calibri"/>
          <w:sz w:val="22"/>
          <w:szCs w:val="22"/>
        </w:rPr>
      </w:pPr>
    </w:p>
    <w:p w:rsidR="001E7A55" w:rsidRPr="00A62834" w:rsidRDefault="008E26F4" w:rsidP="00153BCB">
      <w:pPr>
        <w:pStyle w:val="Naslov2"/>
      </w:pPr>
      <w:r w:rsidRPr="001E7A55">
        <w:t>PRIORITY 3</w:t>
      </w:r>
      <w:r w:rsidR="001E7A55" w:rsidRPr="001E7A55">
        <w:tab/>
      </w:r>
      <w:r w:rsidR="001E7A55">
        <w:tab/>
      </w:r>
      <w:r w:rsidR="001E7A55" w:rsidRPr="001E7A55">
        <w:t>Co-operation in the field of gender equality</w:t>
      </w:r>
    </w:p>
    <w:p w:rsidR="001E7A55" w:rsidRDefault="001E7A55" w:rsidP="008E26F4">
      <w:pPr>
        <w:rPr>
          <w:rFonts w:ascii="Calibri" w:hAnsi="Calibri" w:cs="Calibri"/>
          <w:b/>
          <w:sz w:val="22"/>
          <w:szCs w:val="22"/>
        </w:rPr>
      </w:pPr>
    </w:p>
    <w:p w:rsidR="008E26F4" w:rsidRPr="000436B3" w:rsidRDefault="008E26F4" w:rsidP="008E26F4">
      <w:pPr>
        <w:rPr>
          <w:rFonts w:ascii="Calibri" w:hAnsi="Calibri" w:cs="Calibri"/>
          <w:b/>
          <w:sz w:val="22"/>
          <w:szCs w:val="22"/>
        </w:rPr>
      </w:pPr>
      <w:r w:rsidRPr="000436B3">
        <w:rPr>
          <w:rFonts w:ascii="Calibri" w:hAnsi="Calibri" w:cs="Calibri"/>
          <w:b/>
          <w:sz w:val="22"/>
          <w:szCs w:val="22"/>
        </w:rPr>
        <w:t>Priority sector</w:t>
      </w:r>
      <w:r w:rsidRPr="000436B3">
        <w:rPr>
          <w:rFonts w:ascii="Calibri" w:hAnsi="Calibri" w:cs="Calibri"/>
          <w:sz w:val="22"/>
          <w:szCs w:val="22"/>
        </w:rPr>
        <w:t>: Human and Social Development</w:t>
      </w:r>
      <w:r w:rsidRPr="000436B3">
        <w:rPr>
          <w:rFonts w:ascii="Calibri" w:hAnsi="Calibri" w:cs="Calibri"/>
          <w:sz w:val="22"/>
          <w:szCs w:val="22"/>
        </w:rPr>
        <w:br/>
      </w:r>
    </w:p>
    <w:p w:rsidR="008E26F4" w:rsidRDefault="008E26F4" w:rsidP="001E7A55">
      <w:pPr>
        <w:jc w:val="both"/>
        <w:rPr>
          <w:rFonts w:ascii="Calibri" w:hAnsi="Calibri" w:cs="Calibri"/>
          <w:sz w:val="22"/>
          <w:szCs w:val="22"/>
        </w:rPr>
      </w:pPr>
      <w:r w:rsidRPr="000436B3">
        <w:rPr>
          <w:rFonts w:ascii="Calibri" w:hAnsi="Calibri" w:cs="Calibri"/>
          <w:b/>
          <w:sz w:val="22"/>
          <w:szCs w:val="22"/>
        </w:rPr>
        <w:t>Type of activity</w:t>
      </w:r>
      <w:r w:rsidRPr="000436B3">
        <w:rPr>
          <w:rFonts w:ascii="Calibri" w:hAnsi="Calibri" w:cs="Calibri"/>
          <w:sz w:val="22"/>
          <w:szCs w:val="22"/>
        </w:rPr>
        <w:t xml:space="preserve">: </w:t>
      </w:r>
    </w:p>
    <w:p w:rsidR="008E26F4" w:rsidRPr="004F518D" w:rsidRDefault="008E26F4" w:rsidP="001E7A55">
      <w:pPr>
        <w:pStyle w:val="Odstavekseznama"/>
        <w:numPr>
          <w:ilvl w:val="0"/>
          <w:numId w:val="20"/>
        </w:numPr>
        <w:spacing w:line="276" w:lineRule="auto"/>
        <w:contextualSpacing/>
        <w:jc w:val="both"/>
        <w:rPr>
          <w:rFonts w:ascii="Calibri" w:hAnsi="Calibri" w:cs="Calibri"/>
          <w:b/>
          <w:sz w:val="22"/>
          <w:szCs w:val="22"/>
        </w:rPr>
      </w:pPr>
      <w:r w:rsidRPr="004F518D">
        <w:rPr>
          <w:rFonts w:ascii="Calibri" w:hAnsi="Calibri" w:cs="Calibri"/>
          <w:sz w:val="22"/>
          <w:szCs w:val="22"/>
          <w:u w:val="single"/>
        </w:rPr>
        <w:t>Study visit</w:t>
      </w:r>
      <w:r>
        <w:rPr>
          <w:rFonts w:ascii="Calibri" w:hAnsi="Calibri" w:cs="Calibri"/>
          <w:sz w:val="22"/>
          <w:szCs w:val="22"/>
        </w:rPr>
        <w:t xml:space="preserve"> to gender equality bodies and </w:t>
      </w:r>
      <w:r w:rsidRPr="004F518D">
        <w:rPr>
          <w:rFonts w:ascii="Calibri" w:hAnsi="Calibri" w:cs="Calibri"/>
          <w:sz w:val="22"/>
          <w:szCs w:val="22"/>
        </w:rPr>
        <w:t>other</w:t>
      </w:r>
      <w:r>
        <w:rPr>
          <w:rFonts w:ascii="Calibri" w:hAnsi="Calibri" w:cs="Calibri"/>
          <w:sz w:val="22"/>
          <w:szCs w:val="22"/>
        </w:rPr>
        <w:t xml:space="preserve"> relevant</w:t>
      </w:r>
      <w:r w:rsidRPr="004F518D">
        <w:rPr>
          <w:rFonts w:ascii="Calibri" w:hAnsi="Calibri" w:cs="Calibri"/>
          <w:sz w:val="22"/>
          <w:szCs w:val="22"/>
        </w:rPr>
        <w:t xml:space="preserve"> organizations dealing with gender equality issues in Norway, Iceland and</w:t>
      </w:r>
      <w:r>
        <w:rPr>
          <w:rFonts w:ascii="Calibri" w:hAnsi="Calibri" w:cs="Calibri"/>
          <w:sz w:val="22"/>
          <w:szCs w:val="22"/>
        </w:rPr>
        <w:t>/or</w:t>
      </w:r>
      <w:r w:rsidRPr="004F518D">
        <w:rPr>
          <w:rFonts w:ascii="Calibri" w:hAnsi="Calibri" w:cs="Calibri"/>
          <w:sz w:val="22"/>
          <w:szCs w:val="22"/>
        </w:rPr>
        <w:t xml:space="preserve"> Lichtenstein</w:t>
      </w:r>
      <w:r>
        <w:rPr>
          <w:rFonts w:ascii="Calibri" w:hAnsi="Calibri" w:cs="Calibri"/>
          <w:sz w:val="22"/>
          <w:szCs w:val="22"/>
        </w:rPr>
        <w:t xml:space="preserve"> focusing on the exchange of experiences and best practices regarding the preparation and implementation of the gender equality policy and programmes</w:t>
      </w:r>
    </w:p>
    <w:p w:rsidR="008E26F4" w:rsidRPr="000436B3" w:rsidRDefault="008E26F4" w:rsidP="001E7A55">
      <w:pPr>
        <w:pStyle w:val="Odstavekseznama"/>
        <w:numPr>
          <w:ilvl w:val="0"/>
          <w:numId w:val="20"/>
        </w:numPr>
        <w:spacing w:line="276" w:lineRule="auto"/>
        <w:contextualSpacing/>
        <w:jc w:val="both"/>
        <w:rPr>
          <w:rFonts w:ascii="Calibri" w:hAnsi="Calibri" w:cs="Calibri"/>
          <w:sz w:val="22"/>
          <w:szCs w:val="22"/>
        </w:rPr>
      </w:pPr>
      <w:r w:rsidRPr="000436B3">
        <w:rPr>
          <w:rFonts w:ascii="Calibri" w:hAnsi="Calibri" w:cs="Calibri"/>
          <w:sz w:val="22"/>
          <w:szCs w:val="22"/>
          <w:u w:val="single"/>
        </w:rPr>
        <w:t>Joint conference</w:t>
      </w:r>
      <w:r w:rsidRPr="000436B3">
        <w:rPr>
          <w:rFonts w:ascii="Calibri" w:hAnsi="Calibri" w:cs="Calibri"/>
          <w:sz w:val="22"/>
          <w:szCs w:val="22"/>
        </w:rPr>
        <w:t xml:space="preserve"> for exchange of knowledge and best practices in the area of </w:t>
      </w:r>
      <w:r>
        <w:rPr>
          <w:rFonts w:ascii="Calibri" w:hAnsi="Calibri" w:cs="Calibri"/>
          <w:sz w:val="22"/>
          <w:szCs w:val="22"/>
        </w:rPr>
        <w:t>gender equality among donor (</w:t>
      </w:r>
      <w:r w:rsidRPr="004F518D">
        <w:rPr>
          <w:rFonts w:ascii="Calibri" w:hAnsi="Calibri" w:cs="Calibri"/>
          <w:sz w:val="22"/>
          <w:szCs w:val="22"/>
        </w:rPr>
        <w:t>Norway, Iceland and</w:t>
      </w:r>
      <w:r>
        <w:rPr>
          <w:rFonts w:ascii="Calibri" w:hAnsi="Calibri" w:cs="Calibri"/>
          <w:sz w:val="22"/>
          <w:szCs w:val="22"/>
        </w:rPr>
        <w:t>/or</w:t>
      </w:r>
      <w:r w:rsidRPr="004F518D">
        <w:rPr>
          <w:rFonts w:ascii="Calibri" w:hAnsi="Calibri" w:cs="Calibri"/>
          <w:sz w:val="22"/>
          <w:szCs w:val="22"/>
        </w:rPr>
        <w:t xml:space="preserve"> Lichtenstein</w:t>
      </w:r>
      <w:r>
        <w:rPr>
          <w:rFonts w:ascii="Calibri" w:hAnsi="Calibri" w:cs="Calibri"/>
          <w:sz w:val="22"/>
          <w:szCs w:val="22"/>
        </w:rPr>
        <w:t>) and beneficiary (Slovenia) countries</w:t>
      </w:r>
      <w:r w:rsidRPr="000436B3">
        <w:rPr>
          <w:rFonts w:ascii="Calibri" w:hAnsi="Calibri" w:cs="Calibri"/>
          <w:sz w:val="22"/>
          <w:szCs w:val="22"/>
        </w:rPr>
        <w:t>;</w:t>
      </w:r>
    </w:p>
    <w:p w:rsidR="008E26F4" w:rsidRPr="004F518D" w:rsidRDefault="008E26F4" w:rsidP="001E7A55">
      <w:pPr>
        <w:pStyle w:val="Odstavekseznama"/>
        <w:spacing w:line="276" w:lineRule="auto"/>
        <w:ind w:left="720"/>
        <w:contextualSpacing/>
        <w:jc w:val="both"/>
        <w:rPr>
          <w:rFonts w:ascii="Calibri" w:hAnsi="Calibri" w:cs="Calibri"/>
          <w:b/>
          <w:sz w:val="22"/>
          <w:szCs w:val="22"/>
        </w:rPr>
      </w:pPr>
    </w:p>
    <w:p w:rsidR="008963AC" w:rsidRDefault="008E26F4" w:rsidP="001E7A55">
      <w:pPr>
        <w:jc w:val="both"/>
        <w:rPr>
          <w:rFonts w:ascii="Calibri" w:hAnsi="Calibri" w:cs="Calibri"/>
          <w:sz w:val="22"/>
          <w:szCs w:val="22"/>
        </w:rPr>
      </w:pPr>
      <w:r w:rsidRPr="000436B3">
        <w:rPr>
          <w:rFonts w:ascii="Calibri" w:hAnsi="Calibri" w:cs="Calibri"/>
          <w:b/>
          <w:sz w:val="22"/>
          <w:szCs w:val="22"/>
        </w:rPr>
        <w:t>Organiser</w:t>
      </w:r>
      <w:r w:rsidRPr="000436B3">
        <w:rPr>
          <w:rFonts w:ascii="Calibri" w:hAnsi="Calibri" w:cs="Calibri"/>
          <w:sz w:val="22"/>
          <w:szCs w:val="22"/>
        </w:rPr>
        <w:t xml:space="preserve">: </w:t>
      </w:r>
    </w:p>
    <w:p w:rsidR="008963AC" w:rsidRDefault="00AE1137" w:rsidP="008963AC">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Responsible institution</w:t>
      </w:r>
      <w:r>
        <w:rPr>
          <w:rFonts w:ascii="Calibri" w:hAnsi="Calibri" w:cs="Calibri"/>
          <w:sz w:val="22"/>
          <w:szCs w:val="22"/>
        </w:rPr>
        <w:t>: NFP (management, p</w:t>
      </w:r>
      <w:r w:rsidR="008963AC">
        <w:rPr>
          <w:rFonts w:ascii="Calibri" w:hAnsi="Calibri" w:cs="Calibri"/>
          <w:sz w:val="22"/>
          <w:szCs w:val="22"/>
        </w:rPr>
        <w:t>ublic procurement</w:t>
      </w:r>
      <w:r>
        <w:rPr>
          <w:rFonts w:ascii="Calibri" w:hAnsi="Calibri" w:cs="Calibri"/>
          <w:sz w:val="22"/>
          <w:szCs w:val="22"/>
        </w:rPr>
        <w:t>,</w:t>
      </w:r>
      <w:r w:rsidR="008963AC">
        <w:rPr>
          <w:rFonts w:ascii="Calibri" w:hAnsi="Calibri" w:cs="Calibri"/>
          <w:sz w:val="22"/>
          <w:szCs w:val="22"/>
        </w:rPr>
        <w:t xml:space="preserve"> organizational</w:t>
      </w:r>
      <w:r>
        <w:rPr>
          <w:rFonts w:ascii="Calibri" w:hAnsi="Calibri" w:cs="Calibri"/>
          <w:sz w:val="22"/>
          <w:szCs w:val="22"/>
        </w:rPr>
        <w:t xml:space="preserve"> issues, payments and reporting);</w:t>
      </w:r>
    </w:p>
    <w:p w:rsidR="008963AC" w:rsidRDefault="008963AC" w:rsidP="008963AC">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Applicant institution</w:t>
      </w:r>
      <w:r>
        <w:rPr>
          <w:rFonts w:ascii="Calibri" w:hAnsi="Calibri" w:cs="Calibri"/>
          <w:sz w:val="22"/>
          <w:szCs w:val="22"/>
        </w:rPr>
        <w:t>:</w:t>
      </w:r>
      <w:r w:rsidRPr="008963AC">
        <w:rPr>
          <w:rFonts w:ascii="Calibri" w:hAnsi="Calibri" w:cs="Calibri"/>
          <w:sz w:val="22"/>
          <w:szCs w:val="22"/>
        </w:rPr>
        <w:t xml:space="preserve"> Ministry of Labor, Family and Social Affairs (Slovenia)</w:t>
      </w:r>
    </w:p>
    <w:p w:rsidR="008E26F4" w:rsidRPr="008963AC" w:rsidRDefault="008963AC" w:rsidP="008963AC">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lastRenderedPageBreak/>
        <w:t>Other institutions involved in implementation of activities</w:t>
      </w:r>
      <w:r>
        <w:rPr>
          <w:rFonts w:ascii="Calibri" w:hAnsi="Calibri" w:cs="Calibri"/>
          <w:sz w:val="22"/>
          <w:szCs w:val="22"/>
        </w:rPr>
        <w:t>:</w:t>
      </w:r>
      <w:r w:rsidR="008E26F4" w:rsidRPr="008963AC">
        <w:rPr>
          <w:rFonts w:ascii="Calibri" w:hAnsi="Calibri" w:cs="Calibri"/>
          <w:sz w:val="22"/>
          <w:szCs w:val="22"/>
        </w:rPr>
        <w:t xml:space="preserve"> Center for Gender Equality (Iceland), Ministry of Children, Equality and Social Inclusion (Norway), Ministry of Family Affairs and/or Gender Equality (Lichtenstein), and other Project donor partner(s), if relevant, in co-operation with the Norwegian Embassy in Budapest</w:t>
      </w:r>
      <w:r w:rsidR="001E7A55" w:rsidRPr="008963AC">
        <w:rPr>
          <w:rFonts w:ascii="Calibri" w:hAnsi="Calibri" w:cs="Calibri"/>
          <w:sz w:val="22"/>
          <w:szCs w:val="22"/>
        </w:rPr>
        <w:t>.</w:t>
      </w:r>
    </w:p>
    <w:p w:rsidR="008E26F4" w:rsidRPr="000436B3" w:rsidRDefault="008E26F4" w:rsidP="001E7A55">
      <w:pPr>
        <w:jc w:val="both"/>
        <w:rPr>
          <w:rFonts w:ascii="Calibri" w:hAnsi="Calibri" w:cs="Calibri"/>
          <w:sz w:val="22"/>
          <w:szCs w:val="22"/>
        </w:rPr>
      </w:pPr>
      <w:r w:rsidRPr="000436B3">
        <w:rPr>
          <w:rFonts w:ascii="Calibri" w:hAnsi="Calibri" w:cs="Calibri"/>
          <w:sz w:val="22"/>
          <w:szCs w:val="22"/>
        </w:rPr>
        <w:br/>
      </w:r>
      <w:r w:rsidRPr="000436B3">
        <w:rPr>
          <w:rFonts w:ascii="Calibri" w:hAnsi="Calibri" w:cs="Calibri"/>
          <w:b/>
          <w:sz w:val="22"/>
          <w:szCs w:val="22"/>
        </w:rPr>
        <w:t>Possible time</w:t>
      </w:r>
      <w:r w:rsidRPr="000436B3">
        <w:rPr>
          <w:rFonts w:ascii="Calibri" w:hAnsi="Calibri" w:cs="Calibri"/>
          <w:sz w:val="22"/>
          <w:szCs w:val="22"/>
        </w:rPr>
        <w:t xml:space="preserve">: </w:t>
      </w:r>
    </w:p>
    <w:p w:rsidR="008E26F4" w:rsidRPr="000436B3" w:rsidRDefault="008E26F4" w:rsidP="001E7A55">
      <w:pPr>
        <w:pStyle w:val="Odstavekseznama"/>
        <w:numPr>
          <w:ilvl w:val="0"/>
          <w:numId w:val="21"/>
        </w:numPr>
        <w:spacing w:line="276" w:lineRule="auto"/>
        <w:contextualSpacing/>
        <w:jc w:val="both"/>
        <w:rPr>
          <w:rFonts w:ascii="Calibri" w:hAnsi="Calibri" w:cs="Calibri"/>
          <w:sz w:val="22"/>
          <w:szCs w:val="22"/>
        </w:rPr>
      </w:pPr>
      <w:r>
        <w:rPr>
          <w:rFonts w:ascii="Calibri" w:hAnsi="Calibri" w:cs="Calibri"/>
          <w:sz w:val="22"/>
          <w:szCs w:val="22"/>
          <w:u w:val="single"/>
        </w:rPr>
        <w:t>S</w:t>
      </w:r>
      <w:r w:rsidRPr="000436B3">
        <w:rPr>
          <w:rFonts w:ascii="Calibri" w:hAnsi="Calibri" w:cs="Calibri"/>
          <w:sz w:val="22"/>
          <w:szCs w:val="22"/>
          <w:u w:val="single"/>
        </w:rPr>
        <w:t>tudy visit</w:t>
      </w:r>
      <w:r w:rsidRPr="000436B3">
        <w:rPr>
          <w:rFonts w:ascii="Calibri" w:hAnsi="Calibri" w:cs="Calibri"/>
          <w:sz w:val="22"/>
          <w:szCs w:val="22"/>
        </w:rPr>
        <w:t xml:space="preserve"> : </w:t>
      </w:r>
      <w:r>
        <w:rPr>
          <w:rFonts w:ascii="Calibri" w:hAnsi="Calibri" w:cs="Calibri"/>
          <w:sz w:val="22"/>
          <w:szCs w:val="22"/>
        </w:rPr>
        <w:t>Spring</w:t>
      </w:r>
      <w:r w:rsidRPr="000436B3">
        <w:rPr>
          <w:rFonts w:ascii="Calibri" w:hAnsi="Calibri" w:cs="Calibri"/>
          <w:sz w:val="22"/>
          <w:szCs w:val="22"/>
        </w:rPr>
        <w:t xml:space="preserve"> 2013</w:t>
      </w:r>
    </w:p>
    <w:p w:rsidR="008E26F4" w:rsidRPr="000436B3" w:rsidRDefault="008E26F4" w:rsidP="001E7A55">
      <w:pPr>
        <w:pStyle w:val="Odstavekseznama"/>
        <w:numPr>
          <w:ilvl w:val="0"/>
          <w:numId w:val="21"/>
        </w:numPr>
        <w:spacing w:line="276" w:lineRule="auto"/>
        <w:contextualSpacing/>
        <w:jc w:val="both"/>
        <w:rPr>
          <w:rFonts w:ascii="Calibri" w:hAnsi="Calibri" w:cs="Calibri"/>
          <w:sz w:val="22"/>
          <w:szCs w:val="22"/>
        </w:rPr>
      </w:pPr>
      <w:r>
        <w:rPr>
          <w:rFonts w:ascii="Calibri" w:hAnsi="Calibri" w:cs="Calibri"/>
          <w:sz w:val="22"/>
          <w:szCs w:val="22"/>
          <w:u w:val="single"/>
        </w:rPr>
        <w:t xml:space="preserve">Joint </w:t>
      </w:r>
      <w:r w:rsidRPr="000436B3">
        <w:rPr>
          <w:rFonts w:ascii="Calibri" w:hAnsi="Calibri" w:cs="Calibri"/>
          <w:sz w:val="22"/>
          <w:szCs w:val="22"/>
          <w:u w:val="single"/>
        </w:rPr>
        <w:t>conference</w:t>
      </w:r>
      <w:r>
        <w:rPr>
          <w:rFonts w:ascii="Calibri" w:hAnsi="Calibri" w:cs="Calibri"/>
          <w:sz w:val="22"/>
          <w:szCs w:val="22"/>
        </w:rPr>
        <w:t>: Autumn 2014</w:t>
      </w:r>
    </w:p>
    <w:p w:rsidR="008E26F4" w:rsidRPr="000436B3" w:rsidRDefault="008E26F4" w:rsidP="001E7A55">
      <w:pPr>
        <w:jc w:val="both"/>
        <w:rPr>
          <w:rFonts w:ascii="Calibri" w:hAnsi="Calibri" w:cs="Calibri"/>
          <w:sz w:val="22"/>
          <w:szCs w:val="22"/>
        </w:rPr>
      </w:pPr>
      <w:r w:rsidRPr="000436B3">
        <w:rPr>
          <w:rFonts w:ascii="Calibri" w:hAnsi="Calibri" w:cs="Calibri"/>
          <w:sz w:val="22"/>
          <w:szCs w:val="22"/>
        </w:rPr>
        <w:br/>
      </w:r>
      <w:r w:rsidRPr="000436B3">
        <w:rPr>
          <w:rFonts w:ascii="Calibri" w:hAnsi="Calibri" w:cs="Calibri"/>
          <w:b/>
          <w:sz w:val="22"/>
          <w:szCs w:val="22"/>
        </w:rPr>
        <w:t>Main goal</w:t>
      </w:r>
      <w:r w:rsidRPr="000436B3">
        <w:rPr>
          <w:rFonts w:ascii="Calibri" w:hAnsi="Calibri" w:cs="Calibri"/>
          <w:sz w:val="22"/>
          <w:szCs w:val="22"/>
        </w:rPr>
        <w:t xml:space="preserve">: </w:t>
      </w:r>
      <w:r>
        <w:rPr>
          <w:rFonts w:ascii="Calibri" w:hAnsi="Calibri" w:cs="Calibri"/>
          <w:sz w:val="22"/>
          <w:szCs w:val="22"/>
        </w:rPr>
        <w:t>Establishing and further strengthening</w:t>
      </w:r>
      <w:r w:rsidRPr="000436B3">
        <w:rPr>
          <w:rFonts w:ascii="Calibri" w:hAnsi="Calibri" w:cs="Calibri"/>
          <w:sz w:val="22"/>
          <w:szCs w:val="22"/>
        </w:rPr>
        <w:t xml:space="preserve"> bilateral co-</w:t>
      </w:r>
      <w:r>
        <w:rPr>
          <w:rFonts w:ascii="Calibri" w:hAnsi="Calibri" w:cs="Calibri"/>
          <w:sz w:val="22"/>
          <w:szCs w:val="22"/>
        </w:rPr>
        <w:t xml:space="preserve">operation between Slovenia, </w:t>
      </w:r>
      <w:r w:rsidRPr="000436B3">
        <w:rPr>
          <w:rFonts w:ascii="Calibri" w:hAnsi="Calibri" w:cs="Calibri"/>
          <w:sz w:val="22"/>
          <w:szCs w:val="22"/>
        </w:rPr>
        <w:t>Norw</w:t>
      </w:r>
      <w:r>
        <w:rPr>
          <w:rFonts w:ascii="Calibri" w:hAnsi="Calibri" w:cs="Calibri"/>
          <w:sz w:val="22"/>
          <w:szCs w:val="22"/>
        </w:rPr>
        <w:t>ay, Iceland and/or Lichtenstein in the area of gender equality, more specifically between</w:t>
      </w:r>
      <w:r w:rsidRPr="000436B3">
        <w:rPr>
          <w:rFonts w:ascii="Calibri" w:hAnsi="Calibri" w:cs="Calibri"/>
          <w:sz w:val="22"/>
          <w:szCs w:val="22"/>
        </w:rPr>
        <w:t xml:space="preserve"> ministries </w:t>
      </w:r>
      <w:r>
        <w:rPr>
          <w:rFonts w:ascii="Calibri" w:hAnsi="Calibri" w:cs="Calibri"/>
          <w:sz w:val="22"/>
          <w:szCs w:val="22"/>
        </w:rPr>
        <w:t>responsible for gender equality policies and other relevant organizations working in this field</w:t>
      </w:r>
      <w:r w:rsidRPr="000436B3">
        <w:rPr>
          <w:rFonts w:ascii="Calibri" w:hAnsi="Calibri" w:cs="Calibri"/>
          <w:sz w:val="22"/>
          <w:szCs w:val="22"/>
        </w:rPr>
        <w:t>:</w:t>
      </w:r>
    </w:p>
    <w:p w:rsidR="008E26F4" w:rsidRPr="001F71D0" w:rsidRDefault="008E26F4" w:rsidP="001E7A55">
      <w:pPr>
        <w:pStyle w:val="Odstavekseznama"/>
        <w:numPr>
          <w:ilvl w:val="0"/>
          <w:numId w:val="23"/>
        </w:numPr>
        <w:spacing w:line="276" w:lineRule="auto"/>
        <w:contextualSpacing/>
        <w:jc w:val="both"/>
        <w:rPr>
          <w:rFonts w:ascii="Calibri" w:hAnsi="Calibri" w:cs="Calibri"/>
          <w:sz w:val="22"/>
          <w:szCs w:val="22"/>
        </w:rPr>
      </w:pPr>
      <w:r>
        <w:rPr>
          <w:rFonts w:ascii="Calibri" w:hAnsi="Calibri" w:cs="Calibri"/>
          <w:sz w:val="22"/>
          <w:szCs w:val="22"/>
          <w:u w:val="single"/>
        </w:rPr>
        <w:t>S</w:t>
      </w:r>
      <w:r w:rsidRPr="000436B3">
        <w:rPr>
          <w:rFonts w:ascii="Calibri" w:hAnsi="Calibri" w:cs="Calibri"/>
          <w:sz w:val="22"/>
          <w:szCs w:val="22"/>
          <w:u w:val="single"/>
        </w:rPr>
        <w:t>tudy visit</w:t>
      </w:r>
      <w:r w:rsidRPr="000436B3">
        <w:rPr>
          <w:rFonts w:ascii="Calibri" w:hAnsi="Calibri" w:cs="Calibri"/>
          <w:sz w:val="22"/>
          <w:szCs w:val="22"/>
        </w:rPr>
        <w:t xml:space="preserve">: to </w:t>
      </w:r>
      <w:r>
        <w:rPr>
          <w:rFonts w:ascii="Calibri" w:hAnsi="Calibri" w:cs="Calibri"/>
          <w:sz w:val="22"/>
          <w:szCs w:val="22"/>
        </w:rPr>
        <w:t>enable beneficiary country to have a deeper knowledge and experiences on gender equality</w:t>
      </w:r>
      <w:r w:rsidRPr="000436B3">
        <w:rPr>
          <w:rFonts w:ascii="Calibri" w:hAnsi="Calibri" w:cs="Calibri"/>
          <w:sz w:val="22"/>
          <w:szCs w:val="22"/>
        </w:rPr>
        <w:t xml:space="preserve"> best practices regarding </w:t>
      </w:r>
      <w:r>
        <w:rPr>
          <w:rFonts w:ascii="Calibri" w:hAnsi="Calibri" w:cs="Calibri"/>
          <w:sz w:val="22"/>
          <w:szCs w:val="22"/>
        </w:rPr>
        <w:t>the preparation policy documents and programmes in the area of gender equality</w:t>
      </w:r>
    </w:p>
    <w:p w:rsidR="008E26F4" w:rsidRPr="000436B3" w:rsidRDefault="008E26F4" w:rsidP="001E7A55">
      <w:pPr>
        <w:pStyle w:val="Odstavekseznama"/>
        <w:numPr>
          <w:ilvl w:val="0"/>
          <w:numId w:val="23"/>
        </w:numPr>
        <w:spacing w:line="276" w:lineRule="auto"/>
        <w:contextualSpacing/>
        <w:jc w:val="both"/>
        <w:rPr>
          <w:rFonts w:ascii="Calibri" w:hAnsi="Calibri" w:cs="Calibri"/>
          <w:sz w:val="22"/>
          <w:szCs w:val="22"/>
        </w:rPr>
      </w:pPr>
      <w:r>
        <w:rPr>
          <w:rFonts w:ascii="Calibri" w:hAnsi="Calibri" w:cs="Calibri"/>
          <w:sz w:val="22"/>
          <w:szCs w:val="22"/>
          <w:u w:val="single"/>
        </w:rPr>
        <w:t>Joint</w:t>
      </w:r>
      <w:r w:rsidRPr="000436B3">
        <w:rPr>
          <w:rFonts w:ascii="Calibri" w:hAnsi="Calibri" w:cs="Calibri"/>
          <w:sz w:val="22"/>
          <w:szCs w:val="22"/>
          <w:u w:val="single"/>
        </w:rPr>
        <w:t xml:space="preserve"> conference</w:t>
      </w:r>
      <w:r w:rsidRPr="000436B3">
        <w:rPr>
          <w:rFonts w:ascii="Calibri" w:hAnsi="Calibri" w:cs="Calibri"/>
          <w:sz w:val="22"/>
          <w:szCs w:val="22"/>
        </w:rPr>
        <w:t xml:space="preserve">: to exchange best practices and </w:t>
      </w:r>
      <w:r>
        <w:rPr>
          <w:rFonts w:ascii="Calibri" w:hAnsi="Calibri" w:cs="Calibri"/>
          <w:sz w:val="22"/>
          <w:szCs w:val="22"/>
        </w:rPr>
        <w:t>strengthen further co-operation between Slovenia, Norway, Iceland and/or Lichtenstein</w:t>
      </w:r>
    </w:p>
    <w:p w:rsidR="008E26F4" w:rsidRDefault="008E26F4" w:rsidP="001E7A55">
      <w:pPr>
        <w:autoSpaceDE w:val="0"/>
        <w:autoSpaceDN w:val="0"/>
        <w:adjustRightInd w:val="0"/>
        <w:spacing w:line="240" w:lineRule="auto"/>
        <w:jc w:val="both"/>
        <w:rPr>
          <w:rFonts w:ascii="Calibri" w:hAnsi="Calibri" w:cs="Calibri"/>
          <w:b/>
          <w:sz w:val="22"/>
          <w:szCs w:val="22"/>
        </w:rPr>
      </w:pPr>
    </w:p>
    <w:p w:rsidR="008E26F4" w:rsidRDefault="008E26F4" w:rsidP="001E7A55">
      <w:pPr>
        <w:autoSpaceDE w:val="0"/>
        <w:autoSpaceDN w:val="0"/>
        <w:adjustRightInd w:val="0"/>
        <w:spacing w:line="240" w:lineRule="auto"/>
        <w:jc w:val="both"/>
        <w:rPr>
          <w:rFonts w:ascii="Calibri" w:hAnsi="Calibri" w:cs="Calibri"/>
          <w:sz w:val="22"/>
          <w:szCs w:val="22"/>
        </w:rPr>
      </w:pPr>
      <w:r w:rsidRPr="000436B3">
        <w:rPr>
          <w:rFonts w:ascii="Calibri" w:hAnsi="Calibri" w:cs="Calibri"/>
          <w:b/>
          <w:sz w:val="22"/>
          <w:szCs w:val="22"/>
        </w:rPr>
        <w:t>Target groups:</w:t>
      </w:r>
      <w:r>
        <w:rPr>
          <w:rFonts w:ascii="Calibri" w:hAnsi="Calibri" w:cs="Calibri"/>
          <w:b/>
          <w:sz w:val="22"/>
          <w:szCs w:val="22"/>
        </w:rPr>
        <w:t xml:space="preserve"> </w:t>
      </w:r>
    </w:p>
    <w:p w:rsidR="008E26F4" w:rsidRPr="000436B3" w:rsidRDefault="008E26F4" w:rsidP="001E7A55">
      <w:pPr>
        <w:pStyle w:val="Odstavekseznama"/>
        <w:numPr>
          <w:ilvl w:val="0"/>
          <w:numId w:val="22"/>
        </w:numPr>
        <w:spacing w:line="240" w:lineRule="auto"/>
        <w:contextualSpacing/>
        <w:jc w:val="both"/>
        <w:rPr>
          <w:rFonts w:ascii="Calibri" w:hAnsi="Calibri" w:cs="Calibri"/>
          <w:sz w:val="22"/>
          <w:szCs w:val="22"/>
        </w:rPr>
      </w:pPr>
      <w:r>
        <w:rPr>
          <w:rFonts w:ascii="Calibri" w:hAnsi="Calibri" w:cs="Calibri"/>
          <w:sz w:val="22"/>
          <w:szCs w:val="22"/>
          <w:u w:val="single"/>
        </w:rPr>
        <w:t>S</w:t>
      </w:r>
      <w:r w:rsidRPr="000436B3">
        <w:rPr>
          <w:rFonts w:ascii="Calibri" w:hAnsi="Calibri" w:cs="Calibri"/>
          <w:sz w:val="22"/>
          <w:szCs w:val="22"/>
          <w:u w:val="single"/>
        </w:rPr>
        <w:t>tudy visit</w:t>
      </w:r>
      <w:r w:rsidRPr="000436B3">
        <w:rPr>
          <w:rFonts w:ascii="Calibri" w:hAnsi="Calibri" w:cs="Calibri"/>
          <w:sz w:val="22"/>
          <w:szCs w:val="22"/>
        </w:rPr>
        <w:t>:</w:t>
      </w:r>
      <w:r>
        <w:rPr>
          <w:rFonts w:ascii="Calibri" w:hAnsi="Calibri" w:cs="Calibri"/>
          <w:sz w:val="22"/>
          <w:szCs w:val="22"/>
        </w:rPr>
        <w:t xml:space="preserve"> National level policy makers</w:t>
      </w:r>
    </w:p>
    <w:p w:rsidR="008E26F4" w:rsidRPr="000436B3" w:rsidRDefault="008E26F4" w:rsidP="001E7A55">
      <w:pPr>
        <w:pStyle w:val="Odstavekseznama"/>
        <w:numPr>
          <w:ilvl w:val="0"/>
          <w:numId w:val="22"/>
        </w:numPr>
        <w:spacing w:line="240" w:lineRule="auto"/>
        <w:contextualSpacing/>
        <w:jc w:val="both"/>
        <w:rPr>
          <w:rFonts w:ascii="Calibri" w:hAnsi="Calibri" w:cs="Calibri"/>
          <w:sz w:val="22"/>
          <w:szCs w:val="22"/>
        </w:rPr>
      </w:pPr>
      <w:r>
        <w:rPr>
          <w:rFonts w:ascii="Calibri" w:hAnsi="Calibri" w:cs="Calibri"/>
          <w:sz w:val="22"/>
          <w:szCs w:val="22"/>
          <w:u w:val="single"/>
        </w:rPr>
        <w:t xml:space="preserve">Joint </w:t>
      </w:r>
      <w:r w:rsidRPr="000436B3">
        <w:rPr>
          <w:rFonts w:ascii="Calibri" w:hAnsi="Calibri" w:cs="Calibri"/>
          <w:sz w:val="22"/>
          <w:szCs w:val="22"/>
          <w:u w:val="single"/>
        </w:rPr>
        <w:t>conference</w:t>
      </w:r>
      <w:r w:rsidRPr="000436B3">
        <w:rPr>
          <w:rFonts w:ascii="Calibri" w:hAnsi="Calibri" w:cs="Calibri"/>
          <w:sz w:val="22"/>
          <w:szCs w:val="22"/>
        </w:rPr>
        <w:t>: Local and</w:t>
      </w:r>
      <w:r>
        <w:rPr>
          <w:rFonts w:ascii="Calibri" w:hAnsi="Calibri" w:cs="Calibri"/>
          <w:sz w:val="22"/>
          <w:szCs w:val="22"/>
        </w:rPr>
        <w:t xml:space="preserve"> national level policy- and decision makers, NGOs </w:t>
      </w:r>
      <w:r w:rsidRPr="000436B3">
        <w:rPr>
          <w:rFonts w:ascii="Calibri" w:hAnsi="Calibri" w:cs="Calibri"/>
          <w:sz w:val="22"/>
          <w:szCs w:val="22"/>
        </w:rPr>
        <w:t xml:space="preserve">working in the field of </w:t>
      </w:r>
      <w:r>
        <w:rPr>
          <w:rFonts w:ascii="Calibri" w:hAnsi="Calibri" w:cs="Calibri"/>
          <w:sz w:val="22"/>
          <w:szCs w:val="22"/>
        </w:rPr>
        <w:t>gender equality, research and academic sphere and others</w:t>
      </w:r>
      <w:r w:rsidR="002B5F6E">
        <w:rPr>
          <w:rFonts w:ascii="Calibri" w:hAnsi="Calibri" w:cs="Calibri"/>
          <w:sz w:val="22"/>
          <w:szCs w:val="22"/>
        </w:rPr>
        <w:t xml:space="preserve"> from Slovenia and donor countries.</w:t>
      </w:r>
    </w:p>
    <w:p w:rsidR="008E26F4" w:rsidRPr="000436B3" w:rsidRDefault="008E26F4" w:rsidP="001E7A55">
      <w:pPr>
        <w:autoSpaceDE w:val="0"/>
        <w:autoSpaceDN w:val="0"/>
        <w:adjustRightInd w:val="0"/>
        <w:spacing w:line="240" w:lineRule="auto"/>
        <w:jc w:val="both"/>
        <w:rPr>
          <w:rFonts w:ascii="Calibri" w:hAnsi="Calibri" w:cs="Calibri"/>
          <w:sz w:val="22"/>
          <w:szCs w:val="22"/>
        </w:rPr>
      </w:pPr>
    </w:p>
    <w:p w:rsidR="008E26F4" w:rsidRPr="000436B3" w:rsidRDefault="008E26F4" w:rsidP="001E7A55">
      <w:pPr>
        <w:spacing w:line="240" w:lineRule="auto"/>
        <w:jc w:val="both"/>
        <w:rPr>
          <w:rFonts w:ascii="Calibri" w:hAnsi="Calibri" w:cs="Calibri"/>
          <w:sz w:val="22"/>
          <w:szCs w:val="22"/>
        </w:rPr>
      </w:pPr>
      <w:r w:rsidRPr="000436B3">
        <w:rPr>
          <w:rFonts w:ascii="Calibri" w:hAnsi="Calibri" w:cs="Calibri"/>
          <w:b/>
          <w:sz w:val="22"/>
          <w:szCs w:val="22"/>
        </w:rPr>
        <w:t>Justification</w:t>
      </w:r>
      <w:r>
        <w:rPr>
          <w:rFonts w:ascii="Calibri" w:hAnsi="Calibri" w:cs="Calibri"/>
          <w:sz w:val="22"/>
          <w:szCs w:val="22"/>
        </w:rPr>
        <w:t>: This initiative came from two Donor states Norway and Iceland who have</w:t>
      </w:r>
      <w:r w:rsidRPr="004131A5">
        <w:rPr>
          <w:rFonts w:ascii="Calibri" w:hAnsi="Calibri" w:cs="Calibri"/>
          <w:sz w:val="22"/>
          <w:szCs w:val="22"/>
        </w:rPr>
        <w:t xml:space="preserve"> a long tradition of promoting</w:t>
      </w:r>
      <w:r>
        <w:rPr>
          <w:rFonts w:ascii="Calibri" w:hAnsi="Calibri" w:cs="Calibri"/>
          <w:sz w:val="22"/>
          <w:szCs w:val="22"/>
        </w:rPr>
        <w:t xml:space="preserve"> gender equality t</w:t>
      </w:r>
      <w:r w:rsidR="004B3178">
        <w:rPr>
          <w:rFonts w:ascii="Calibri" w:hAnsi="Calibri" w:cs="Calibri"/>
          <w:sz w:val="22"/>
          <w:szCs w:val="22"/>
        </w:rPr>
        <w:t>h</w:t>
      </w:r>
      <w:r>
        <w:rPr>
          <w:rFonts w:ascii="Calibri" w:hAnsi="Calibri" w:cs="Calibri"/>
          <w:sz w:val="22"/>
          <w:szCs w:val="22"/>
        </w:rPr>
        <w:t xml:space="preserve">rough adopting policies and programmes with great </w:t>
      </w:r>
      <w:r w:rsidRPr="009458BB">
        <w:rPr>
          <w:rFonts w:ascii="Calibri" w:hAnsi="Calibri" w:cs="Calibri"/>
          <w:sz w:val="22"/>
          <w:szCs w:val="22"/>
        </w:rPr>
        <w:t>emphasis on</w:t>
      </w:r>
      <w:r>
        <w:rPr>
          <w:rFonts w:ascii="Calibri" w:hAnsi="Calibri" w:cs="Calibri"/>
          <w:sz w:val="22"/>
          <w:szCs w:val="22"/>
        </w:rPr>
        <w:t xml:space="preserve"> creating </w:t>
      </w:r>
      <w:r w:rsidRPr="009458BB">
        <w:rPr>
          <w:rFonts w:ascii="Calibri" w:hAnsi="Calibri" w:cs="Calibri"/>
          <w:sz w:val="22"/>
          <w:szCs w:val="22"/>
        </w:rPr>
        <w:t>an equal society where women participate on an equal footing with men</w:t>
      </w:r>
      <w:r>
        <w:rPr>
          <w:rFonts w:ascii="Calibri" w:hAnsi="Calibri" w:cs="Calibri"/>
          <w:sz w:val="22"/>
          <w:szCs w:val="22"/>
        </w:rPr>
        <w:t xml:space="preserve">. </w:t>
      </w:r>
      <w:r w:rsidRPr="000436B3">
        <w:rPr>
          <w:rFonts w:ascii="Calibri" w:hAnsi="Calibri" w:cs="Calibri"/>
          <w:sz w:val="22"/>
          <w:szCs w:val="22"/>
        </w:rPr>
        <w:t>There has</w:t>
      </w:r>
      <w:r>
        <w:rPr>
          <w:rFonts w:ascii="Calibri" w:hAnsi="Calibri" w:cs="Calibri"/>
          <w:sz w:val="22"/>
          <w:szCs w:val="22"/>
        </w:rPr>
        <w:t xml:space="preserve"> already</w:t>
      </w:r>
      <w:r w:rsidRPr="000436B3">
        <w:rPr>
          <w:rFonts w:ascii="Calibri" w:hAnsi="Calibri" w:cs="Calibri"/>
          <w:sz w:val="22"/>
          <w:szCs w:val="22"/>
        </w:rPr>
        <w:t xml:space="preserve"> been</w:t>
      </w:r>
      <w:r>
        <w:rPr>
          <w:rFonts w:ascii="Calibri" w:hAnsi="Calibri" w:cs="Calibri"/>
          <w:sz w:val="22"/>
          <w:szCs w:val="22"/>
        </w:rPr>
        <w:t xml:space="preserve"> a</w:t>
      </w:r>
      <w:r w:rsidRPr="000436B3">
        <w:rPr>
          <w:rFonts w:ascii="Calibri" w:hAnsi="Calibri" w:cs="Calibri"/>
          <w:sz w:val="22"/>
          <w:szCs w:val="22"/>
        </w:rPr>
        <w:t xml:space="preserve"> close contact between Norway and Sloven</w:t>
      </w:r>
      <w:r>
        <w:rPr>
          <w:rFonts w:ascii="Calibri" w:hAnsi="Calibri" w:cs="Calibri"/>
          <w:sz w:val="22"/>
          <w:szCs w:val="22"/>
        </w:rPr>
        <w:t>ia on this issue for many years</w:t>
      </w:r>
      <w:r w:rsidRPr="000436B3">
        <w:rPr>
          <w:rFonts w:ascii="Calibri" w:hAnsi="Calibri" w:cs="Calibri"/>
          <w:sz w:val="22"/>
          <w:szCs w:val="22"/>
        </w:rPr>
        <w:t>.</w:t>
      </w:r>
      <w:r>
        <w:rPr>
          <w:rFonts w:ascii="Calibri" w:hAnsi="Calibri" w:cs="Calibri"/>
          <w:sz w:val="22"/>
          <w:szCs w:val="22"/>
        </w:rPr>
        <w:t xml:space="preserve"> In order to further strengthen co-operation with Norway and establish close co-operation with Iceland and Lichtenstein in the area of gender equality we plan to organize a study trip and a joint conference. </w:t>
      </w:r>
      <w:r w:rsidRPr="000436B3">
        <w:rPr>
          <w:rFonts w:ascii="Calibri" w:hAnsi="Calibri" w:cs="Calibri"/>
          <w:sz w:val="22"/>
          <w:szCs w:val="22"/>
        </w:rPr>
        <w:t>The study visit w</w:t>
      </w:r>
      <w:r>
        <w:rPr>
          <w:rFonts w:ascii="Calibri" w:hAnsi="Calibri" w:cs="Calibri"/>
          <w:sz w:val="22"/>
          <w:szCs w:val="22"/>
        </w:rPr>
        <w:t>ould</w:t>
      </w:r>
      <w:r w:rsidRPr="000436B3">
        <w:rPr>
          <w:rFonts w:ascii="Calibri" w:hAnsi="Calibri" w:cs="Calibri"/>
          <w:sz w:val="22"/>
          <w:szCs w:val="22"/>
        </w:rPr>
        <w:t xml:space="preserve"> be a good opportunity to exchange the experiences, good practices and </w:t>
      </w:r>
      <w:r>
        <w:rPr>
          <w:rFonts w:ascii="Calibri" w:hAnsi="Calibri" w:cs="Calibri"/>
          <w:sz w:val="22"/>
          <w:szCs w:val="22"/>
        </w:rPr>
        <w:t xml:space="preserve">discuss </w:t>
      </w:r>
      <w:r w:rsidRPr="000436B3">
        <w:rPr>
          <w:rFonts w:ascii="Calibri" w:hAnsi="Calibri" w:cs="Calibri"/>
          <w:sz w:val="22"/>
          <w:szCs w:val="22"/>
        </w:rPr>
        <w:t>obstacles in the proposed area.</w:t>
      </w:r>
      <w:r>
        <w:rPr>
          <w:rFonts w:ascii="Calibri" w:hAnsi="Calibri" w:cs="Calibri"/>
          <w:sz w:val="22"/>
          <w:szCs w:val="22"/>
        </w:rPr>
        <w:t xml:space="preserve"> The conference would bring an added value to raising awareness among Slovenian expert and general public and to building network and strengthening further cooperation between relevant actors.</w:t>
      </w:r>
    </w:p>
    <w:p w:rsidR="008E26F4" w:rsidRDefault="008E26F4" w:rsidP="001E7A55">
      <w:pPr>
        <w:autoSpaceDE w:val="0"/>
        <w:autoSpaceDN w:val="0"/>
        <w:adjustRightInd w:val="0"/>
        <w:spacing w:line="240" w:lineRule="auto"/>
        <w:jc w:val="both"/>
        <w:rPr>
          <w:rFonts w:ascii="Calibri" w:hAnsi="Calibri" w:cs="Calibri"/>
          <w:sz w:val="22"/>
          <w:szCs w:val="22"/>
        </w:rPr>
      </w:pPr>
    </w:p>
    <w:p w:rsidR="008E26F4" w:rsidRDefault="008E26F4" w:rsidP="001E7A55">
      <w:pPr>
        <w:autoSpaceDE w:val="0"/>
        <w:autoSpaceDN w:val="0"/>
        <w:adjustRightInd w:val="0"/>
        <w:spacing w:line="240" w:lineRule="auto"/>
        <w:jc w:val="both"/>
        <w:rPr>
          <w:rFonts w:ascii="Calibri" w:hAnsi="Calibri" w:cs="Calibri"/>
          <w:sz w:val="22"/>
          <w:szCs w:val="22"/>
        </w:rPr>
      </w:pPr>
      <w:r>
        <w:rPr>
          <w:rFonts w:ascii="Calibri" w:hAnsi="Calibri" w:cs="Calibri"/>
          <w:sz w:val="22"/>
          <w:szCs w:val="22"/>
        </w:rPr>
        <w:t>Proposed two</w:t>
      </w:r>
      <w:r w:rsidRPr="000436B3">
        <w:rPr>
          <w:rFonts w:ascii="Calibri" w:hAnsi="Calibri" w:cs="Calibri"/>
          <w:sz w:val="22"/>
          <w:szCs w:val="22"/>
        </w:rPr>
        <w:t xml:space="preserve"> </w:t>
      </w:r>
      <w:r>
        <w:rPr>
          <w:rFonts w:ascii="Calibri" w:hAnsi="Calibri" w:cs="Calibri"/>
          <w:sz w:val="22"/>
          <w:szCs w:val="22"/>
        </w:rPr>
        <w:t>activities from the national bilateral fund go beyond the P</w:t>
      </w:r>
      <w:r w:rsidRPr="000436B3">
        <w:rPr>
          <w:rFonts w:ascii="Calibri" w:hAnsi="Calibri" w:cs="Calibri"/>
          <w:sz w:val="22"/>
          <w:szCs w:val="22"/>
        </w:rPr>
        <w:t>rogramme</w:t>
      </w:r>
      <w:r>
        <w:rPr>
          <w:rFonts w:ascii="Calibri" w:hAnsi="Calibri" w:cs="Calibri"/>
          <w:sz w:val="22"/>
          <w:szCs w:val="22"/>
        </w:rPr>
        <w:t xml:space="preserve"> SI05 and its bilateral fund. However, they are</w:t>
      </w:r>
      <w:r w:rsidRPr="000436B3">
        <w:rPr>
          <w:rFonts w:ascii="Calibri" w:hAnsi="Calibri" w:cs="Calibri"/>
          <w:sz w:val="22"/>
          <w:szCs w:val="22"/>
        </w:rPr>
        <w:t xml:space="preserve"> building on previous cooperation</w:t>
      </w:r>
      <w:r>
        <w:rPr>
          <w:rFonts w:ascii="Calibri" w:hAnsi="Calibri" w:cs="Calibri"/>
          <w:sz w:val="22"/>
          <w:szCs w:val="22"/>
        </w:rPr>
        <w:t>, in particular with Norway</w:t>
      </w:r>
      <w:r w:rsidR="002B5F6E">
        <w:rPr>
          <w:rFonts w:ascii="Calibri" w:hAnsi="Calibri" w:cs="Calibri"/>
          <w:sz w:val="22"/>
          <w:szCs w:val="22"/>
        </w:rPr>
        <w:t xml:space="preserve">. </w:t>
      </w:r>
      <w:r>
        <w:rPr>
          <w:rFonts w:ascii="Calibri" w:hAnsi="Calibri" w:cs="Calibri"/>
          <w:sz w:val="22"/>
          <w:szCs w:val="22"/>
        </w:rPr>
        <w:t>Funds within the Programme’s bilateral fund will be used for two bilateral activities planned in the pre-defined project “T</w:t>
      </w:r>
      <w:r w:rsidRPr="00E025B9">
        <w:rPr>
          <w:rFonts w:ascii="Calibri" w:hAnsi="Calibri" w:cs="Calibri"/>
          <w:sz w:val="22"/>
          <w:szCs w:val="22"/>
        </w:rPr>
        <w:t>owards equalizing power relations</w:t>
      </w:r>
      <w:r>
        <w:rPr>
          <w:rFonts w:ascii="Calibri" w:hAnsi="Calibri" w:cs="Calibri"/>
          <w:sz w:val="22"/>
          <w:szCs w:val="22"/>
        </w:rPr>
        <w:t xml:space="preserve"> </w:t>
      </w:r>
      <w:r w:rsidRPr="00E025B9">
        <w:rPr>
          <w:rFonts w:ascii="Calibri" w:hAnsi="Calibri" w:cs="Calibri"/>
          <w:sz w:val="22"/>
          <w:szCs w:val="22"/>
        </w:rPr>
        <w:t>between women and men</w:t>
      </w:r>
      <w:r>
        <w:rPr>
          <w:rFonts w:ascii="Calibri" w:hAnsi="Calibri" w:cs="Calibri"/>
          <w:sz w:val="22"/>
          <w:szCs w:val="22"/>
        </w:rPr>
        <w:t xml:space="preserve">”. First, two study visits </w:t>
      </w:r>
      <w:r w:rsidRPr="009E49D2">
        <w:rPr>
          <w:rFonts w:ascii="Calibri" w:hAnsi="Calibri" w:cs="Calibri"/>
          <w:sz w:val="22"/>
          <w:szCs w:val="22"/>
        </w:rPr>
        <w:t>of informal network of women mayors</w:t>
      </w:r>
      <w:r>
        <w:rPr>
          <w:rFonts w:ascii="Calibri" w:hAnsi="Calibri" w:cs="Calibri"/>
          <w:sz w:val="22"/>
          <w:szCs w:val="22"/>
        </w:rPr>
        <w:t xml:space="preserve"> and their male colleagues</w:t>
      </w:r>
      <w:r w:rsidRPr="009E49D2">
        <w:rPr>
          <w:rFonts w:ascii="Calibri" w:hAnsi="Calibri" w:cs="Calibri"/>
          <w:sz w:val="22"/>
          <w:szCs w:val="22"/>
        </w:rPr>
        <w:t xml:space="preserve"> </w:t>
      </w:r>
      <w:r>
        <w:rPr>
          <w:rFonts w:ascii="Calibri" w:hAnsi="Calibri" w:cs="Calibri"/>
          <w:sz w:val="22"/>
          <w:szCs w:val="22"/>
        </w:rPr>
        <w:t xml:space="preserve">to Norway will be organised. The objective is </w:t>
      </w:r>
      <w:r w:rsidRPr="00CB1497">
        <w:rPr>
          <w:rFonts w:ascii="Calibri" w:hAnsi="Calibri" w:cs="Calibri"/>
          <w:sz w:val="22"/>
          <w:szCs w:val="22"/>
        </w:rPr>
        <w:t>to increase capacity of local level authorities to identify, design and implement informed gender sensitive policies at the local level.</w:t>
      </w:r>
      <w:r w:rsidRPr="009E49D2">
        <w:rPr>
          <w:rFonts w:ascii="Calibri" w:hAnsi="Calibri" w:cs="Calibri"/>
          <w:sz w:val="22"/>
          <w:szCs w:val="22"/>
        </w:rPr>
        <w:t xml:space="preserve"> The capacity building activities will be developed in the co-operation with Norwegian partner</w:t>
      </w:r>
      <w:r>
        <w:rPr>
          <w:rFonts w:ascii="Calibri" w:hAnsi="Calibri" w:cs="Calibri"/>
          <w:sz w:val="22"/>
          <w:szCs w:val="22"/>
        </w:rPr>
        <w:t xml:space="preserve"> KS</w:t>
      </w:r>
      <w:r w:rsidRPr="009E49D2">
        <w:rPr>
          <w:rFonts w:ascii="Calibri" w:hAnsi="Calibri" w:cs="Calibri"/>
          <w:sz w:val="22"/>
          <w:szCs w:val="22"/>
        </w:rPr>
        <w:t>.</w:t>
      </w:r>
      <w:r>
        <w:rPr>
          <w:rFonts w:ascii="Calibri" w:hAnsi="Calibri" w:cs="Calibri"/>
          <w:sz w:val="22"/>
          <w:szCs w:val="22"/>
        </w:rPr>
        <w:t xml:space="preserve"> Second, the </w:t>
      </w:r>
      <w:r w:rsidR="004B3178">
        <w:rPr>
          <w:rFonts w:ascii="Calibri" w:hAnsi="Calibri" w:cs="Calibri"/>
          <w:sz w:val="22"/>
          <w:szCs w:val="22"/>
        </w:rPr>
        <w:t xml:space="preserve">closing </w:t>
      </w:r>
      <w:r>
        <w:rPr>
          <w:rFonts w:ascii="Calibri" w:hAnsi="Calibri" w:cs="Calibri"/>
          <w:sz w:val="22"/>
          <w:szCs w:val="22"/>
        </w:rPr>
        <w:t>conference of the project will take place in 2015. Outcomes of the project and future challenges will be presented and discussed with experts from Slovenia and Norway.</w:t>
      </w:r>
    </w:p>
    <w:p w:rsidR="008E26F4" w:rsidRDefault="008E26F4" w:rsidP="001E7A55">
      <w:pPr>
        <w:autoSpaceDE w:val="0"/>
        <w:autoSpaceDN w:val="0"/>
        <w:adjustRightInd w:val="0"/>
        <w:spacing w:line="240" w:lineRule="auto"/>
        <w:jc w:val="both"/>
        <w:rPr>
          <w:rFonts w:ascii="Calibri" w:hAnsi="Calibri" w:cs="Calibri"/>
          <w:sz w:val="22"/>
          <w:szCs w:val="22"/>
        </w:rPr>
      </w:pPr>
    </w:p>
    <w:p w:rsidR="008E26F4" w:rsidRPr="000436B3" w:rsidRDefault="008E26F4" w:rsidP="001E7A55">
      <w:pPr>
        <w:spacing w:line="240" w:lineRule="auto"/>
        <w:ind w:right="-6"/>
        <w:jc w:val="both"/>
        <w:rPr>
          <w:rFonts w:ascii="Calibri" w:hAnsi="Calibri" w:cs="Calibri"/>
          <w:sz w:val="22"/>
          <w:szCs w:val="22"/>
        </w:rPr>
      </w:pPr>
      <w:r>
        <w:rPr>
          <w:rFonts w:ascii="Calibri" w:hAnsi="Calibri" w:cs="Calibri"/>
          <w:sz w:val="22"/>
          <w:szCs w:val="22"/>
        </w:rPr>
        <w:t xml:space="preserve">Activities funded from the national bilateral fund </w:t>
      </w:r>
      <w:r>
        <w:rPr>
          <w:rFonts w:ascii="Calibri" w:hAnsi="Calibri"/>
          <w:sz w:val="22"/>
          <w:szCs w:val="22"/>
          <w:lang w:val="en-GB" w:eastAsia="en-GB"/>
        </w:rPr>
        <w:t>will be focused on gender equality policy at the national level</w:t>
      </w:r>
      <w:r>
        <w:rPr>
          <w:rFonts w:ascii="Calibri" w:hAnsi="Calibri" w:cs="Calibri"/>
          <w:sz w:val="22"/>
          <w:szCs w:val="22"/>
        </w:rPr>
        <w:t xml:space="preserve"> w</w:t>
      </w:r>
      <w:r w:rsidRPr="00D77916">
        <w:rPr>
          <w:rFonts w:ascii="Calibri" w:hAnsi="Calibri"/>
          <w:sz w:val="22"/>
          <w:szCs w:val="22"/>
          <w:lang w:val="en-GB" w:eastAsia="en-GB"/>
        </w:rPr>
        <w:t xml:space="preserve">ith the purpose to facilitate networking, exchange, sharing and transfer of knowledge, experience and good practise </w:t>
      </w:r>
      <w:r>
        <w:rPr>
          <w:rFonts w:ascii="Calibri" w:hAnsi="Calibri"/>
          <w:sz w:val="22"/>
          <w:szCs w:val="22"/>
          <w:lang w:val="en-GB" w:eastAsia="en-GB"/>
        </w:rPr>
        <w:t>in the area of gender equality</w:t>
      </w:r>
      <w:r w:rsidRPr="00D77916">
        <w:rPr>
          <w:rFonts w:ascii="Calibri" w:hAnsi="Calibri"/>
          <w:sz w:val="22"/>
          <w:szCs w:val="22"/>
          <w:lang w:val="en-GB" w:eastAsia="en-GB"/>
        </w:rPr>
        <w:t xml:space="preserve"> between</w:t>
      </w:r>
      <w:r>
        <w:rPr>
          <w:rFonts w:ascii="Calibri" w:hAnsi="Calibri"/>
          <w:sz w:val="22"/>
          <w:szCs w:val="22"/>
          <w:lang w:val="en-GB" w:eastAsia="en-GB"/>
        </w:rPr>
        <w:t xml:space="preserve"> Slovenia and </w:t>
      </w:r>
      <w:r>
        <w:rPr>
          <w:rFonts w:ascii="Calibri" w:hAnsi="Calibri"/>
          <w:sz w:val="22"/>
          <w:szCs w:val="22"/>
          <w:lang w:val="en-GB" w:eastAsia="en-GB"/>
        </w:rPr>
        <w:lastRenderedPageBreak/>
        <w:t>all three donor countries (</w:t>
      </w:r>
      <w:r w:rsidRPr="00D77916">
        <w:rPr>
          <w:rFonts w:ascii="Calibri" w:hAnsi="Calibri"/>
          <w:sz w:val="22"/>
          <w:szCs w:val="22"/>
          <w:lang w:val="en-GB" w:eastAsia="en-GB"/>
        </w:rPr>
        <w:t>Norway</w:t>
      </w:r>
      <w:r>
        <w:rPr>
          <w:rFonts w:ascii="Calibri" w:hAnsi="Calibri"/>
          <w:sz w:val="22"/>
          <w:szCs w:val="22"/>
          <w:lang w:val="en-GB" w:eastAsia="en-GB"/>
        </w:rPr>
        <w:t>, Iceland and/or Lichtenstein).</w:t>
      </w:r>
      <w:r>
        <w:rPr>
          <w:rFonts w:ascii="Calibri" w:hAnsi="Calibri" w:cs="Calibri"/>
          <w:sz w:val="22"/>
          <w:szCs w:val="22"/>
        </w:rPr>
        <w:t xml:space="preserve"> Planned activities will complement the Programme SI05 </w:t>
      </w:r>
      <w:r w:rsidRPr="00D77916">
        <w:rPr>
          <w:rFonts w:ascii="Calibri" w:hAnsi="Calibri"/>
          <w:sz w:val="22"/>
          <w:szCs w:val="22"/>
          <w:lang w:val="en-GB" w:eastAsia="en-GB"/>
        </w:rPr>
        <w:t>communication plan</w:t>
      </w:r>
      <w:r>
        <w:rPr>
          <w:rFonts w:ascii="Calibri" w:hAnsi="Calibri"/>
          <w:sz w:val="22"/>
          <w:szCs w:val="22"/>
          <w:lang w:val="en-GB" w:eastAsia="en-GB"/>
        </w:rPr>
        <w:t xml:space="preserve"> in order to ensure </w:t>
      </w:r>
      <w:r>
        <w:rPr>
          <w:rFonts w:ascii="Calibri" w:hAnsi="Calibri" w:cs="Calibri"/>
          <w:sz w:val="22"/>
          <w:szCs w:val="22"/>
        </w:rPr>
        <w:t xml:space="preserve">not only greater </w:t>
      </w:r>
      <w:r w:rsidRPr="00D77916">
        <w:rPr>
          <w:rFonts w:ascii="Calibri" w:hAnsi="Calibri"/>
          <w:sz w:val="22"/>
          <w:szCs w:val="22"/>
          <w:lang w:val="en-GB" w:eastAsia="en-GB"/>
        </w:rPr>
        <w:t>visibility and awareness of the project</w:t>
      </w:r>
      <w:r>
        <w:rPr>
          <w:rFonts w:ascii="Calibri" w:hAnsi="Calibri"/>
          <w:sz w:val="22"/>
          <w:szCs w:val="22"/>
          <w:lang w:val="en-GB" w:eastAsia="en-GB"/>
        </w:rPr>
        <w:t>s</w:t>
      </w:r>
      <w:r w:rsidRPr="00D77916">
        <w:rPr>
          <w:rFonts w:ascii="Calibri" w:hAnsi="Calibri"/>
          <w:sz w:val="22"/>
          <w:szCs w:val="22"/>
          <w:lang w:val="en-GB" w:eastAsia="en-GB"/>
        </w:rPr>
        <w:t>, its objectives and results achieved</w:t>
      </w:r>
      <w:r>
        <w:rPr>
          <w:rFonts w:ascii="Calibri" w:hAnsi="Calibri"/>
          <w:sz w:val="22"/>
          <w:szCs w:val="22"/>
          <w:lang w:val="en-GB" w:eastAsia="en-GB"/>
        </w:rPr>
        <w:t>, but also to ensure greater awareness of the EEA and Norway grants among target groups. It will contribute to building capacity of national authorities to identify, design and implement gender sensitive policies at national level.</w:t>
      </w:r>
      <w:r>
        <w:rPr>
          <w:rFonts w:ascii="Calibri" w:hAnsi="Calibri" w:cs="Calibri"/>
          <w:sz w:val="22"/>
          <w:szCs w:val="22"/>
        </w:rPr>
        <w:t xml:space="preserve"> Program of the study visit and conference will be discussed in details with organizations involved in the preparation of both events. Initiatives will</w:t>
      </w:r>
      <w:r w:rsidRPr="000436B3">
        <w:rPr>
          <w:rFonts w:ascii="Calibri" w:hAnsi="Calibri" w:cs="Calibri"/>
          <w:sz w:val="22"/>
          <w:szCs w:val="22"/>
        </w:rPr>
        <w:t xml:space="preserve"> be linked to political priorities at </w:t>
      </w:r>
      <w:r>
        <w:rPr>
          <w:rFonts w:ascii="Calibri" w:hAnsi="Calibri" w:cs="Calibri"/>
          <w:sz w:val="22"/>
          <w:szCs w:val="22"/>
        </w:rPr>
        <w:t xml:space="preserve">a </w:t>
      </w:r>
      <w:r w:rsidRPr="000436B3">
        <w:rPr>
          <w:rFonts w:ascii="Calibri" w:hAnsi="Calibri" w:cs="Calibri"/>
          <w:sz w:val="22"/>
          <w:szCs w:val="22"/>
        </w:rPr>
        <w:t xml:space="preserve">national level. </w:t>
      </w:r>
      <w:r>
        <w:rPr>
          <w:rFonts w:ascii="Calibri" w:hAnsi="Calibri" w:cs="Calibri"/>
          <w:sz w:val="22"/>
          <w:szCs w:val="22"/>
        </w:rPr>
        <w:t>At the moment, Iceland</w:t>
      </w:r>
      <w:r w:rsidRPr="0068501F">
        <w:rPr>
          <w:rFonts w:ascii="Calibri" w:hAnsi="Calibri" w:cs="Calibri"/>
          <w:sz w:val="22"/>
          <w:szCs w:val="22"/>
        </w:rPr>
        <w:t xml:space="preserve"> </w:t>
      </w:r>
      <w:r>
        <w:rPr>
          <w:rFonts w:ascii="Calibri" w:hAnsi="Calibri" w:cs="Calibri"/>
          <w:sz w:val="22"/>
          <w:szCs w:val="22"/>
        </w:rPr>
        <w:t xml:space="preserve">(Center for Gender Equality) and Norway (Ministry of Children, Equality and Social Inclusion) have agreed to </w:t>
      </w:r>
      <w:r w:rsidR="004B3178">
        <w:rPr>
          <w:rFonts w:ascii="Calibri" w:hAnsi="Calibri" w:cs="Calibri"/>
          <w:sz w:val="22"/>
          <w:szCs w:val="22"/>
        </w:rPr>
        <w:t xml:space="preserve">participate; possible co-operation with </w:t>
      </w:r>
      <w:r>
        <w:rPr>
          <w:rFonts w:ascii="Calibri" w:hAnsi="Calibri" w:cs="Calibri"/>
          <w:sz w:val="22"/>
          <w:szCs w:val="22"/>
        </w:rPr>
        <w:t>Lichtenstein</w:t>
      </w:r>
      <w:r w:rsidR="004B3178">
        <w:rPr>
          <w:rFonts w:ascii="Calibri" w:hAnsi="Calibri" w:cs="Calibri"/>
          <w:sz w:val="22"/>
          <w:szCs w:val="22"/>
        </w:rPr>
        <w:t xml:space="preserve"> is still to be confirmed</w:t>
      </w:r>
      <w:r>
        <w:rPr>
          <w:rFonts w:ascii="Calibri" w:hAnsi="Calibri" w:cs="Calibri"/>
          <w:sz w:val="22"/>
          <w:szCs w:val="22"/>
        </w:rPr>
        <w:t xml:space="preserve">. </w:t>
      </w:r>
    </w:p>
    <w:p w:rsidR="008E26F4" w:rsidRPr="000436B3" w:rsidRDefault="008E26F4" w:rsidP="001E7A55">
      <w:pPr>
        <w:autoSpaceDE w:val="0"/>
        <w:autoSpaceDN w:val="0"/>
        <w:adjustRightInd w:val="0"/>
        <w:spacing w:line="240" w:lineRule="auto"/>
        <w:jc w:val="both"/>
        <w:rPr>
          <w:rFonts w:ascii="Calibri" w:hAnsi="Calibri" w:cs="Calibri"/>
          <w:sz w:val="22"/>
          <w:szCs w:val="22"/>
        </w:rPr>
      </w:pPr>
    </w:p>
    <w:p w:rsidR="008E26F4" w:rsidRPr="000436B3" w:rsidRDefault="008E26F4" w:rsidP="001E7A55">
      <w:pPr>
        <w:autoSpaceDE w:val="0"/>
        <w:autoSpaceDN w:val="0"/>
        <w:adjustRightInd w:val="0"/>
        <w:spacing w:line="240" w:lineRule="auto"/>
        <w:jc w:val="both"/>
        <w:rPr>
          <w:rFonts w:ascii="Calibri" w:hAnsi="Calibri" w:cs="Calibri"/>
          <w:b/>
          <w:sz w:val="22"/>
          <w:szCs w:val="22"/>
        </w:rPr>
      </w:pPr>
      <w:r w:rsidRPr="000436B3">
        <w:rPr>
          <w:rFonts w:ascii="Calibri" w:hAnsi="Calibri" w:cs="Calibri"/>
          <w:b/>
          <w:sz w:val="22"/>
          <w:szCs w:val="22"/>
        </w:rPr>
        <w:t> Expected results:</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Pr>
          <w:rFonts w:ascii="Calibri" w:hAnsi="Calibri" w:cs="Calibri"/>
          <w:sz w:val="22"/>
          <w:szCs w:val="22"/>
        </w:rPr>
        <w:t>Contacts between Slovenia,</w:t>
      </w:r>
      <w:r w:rsidRPr="000436B3">
        <w:rPr>
          <w:rFonts w:ascii="Calibri" w:hAnsi="Calibri" w:cs="Calibri"/>
          <w:sz w:val="22"/>
          <w:szCs w:val="22"/>
        </w:rPr>
        <w:t xml:space="preserve"> </w:t>
      </w:r>
      <w:r>
        <w:rPr>
          <w:rFonts w:ascii="Calibri" w:hAnsi="Calibri" w:cs="Calibri"/>
          <w:sz w:val="22"/>
          <w:szCs w:val="22"/>
        </w:rPr>
        <w:t>Norway, Iceland and/or Lichtenstein</w:t>
      </w:r>
      <w:r w:rsidRPr="000436B3">
        <w:rPr>
          <w:rFonts w:ascii="Calibri" w:hAnsi="Calibri" w:cs="Calibri"/>
          <w:sz w:val="22"/>
          <w:szCs w:val="22"/>
        </w:rPr>
        <w:t xml:space="preserve"> </w:t>
      </w:r>
      <w:r>
        <w:rPr>
          <w:rFonts w:ascii="Calibri" w:hAnsi="Calibri" w:cs="Calibri"/>
          <w:sz w:val="22"/>
          <w:szCs w:val="22"/>
        </w:rPr>
        <w:t>(</w:t>
      </w:r>
      <w:r w:rsidRPr="000436B3">
        <w:rPr>
          <w:rFonts w:ascii="Calibri" w:hAnsi="Calibri" w:cs="Calibri"/>
          <w:sz w:val="22"/>
          <w:szCs w:val="22"/>
        </w:rPr>
        <w:t>government, NGO sector, local government</w:t>
      </w:r>
      <w:r w:rsidR="004B3178">
        <w:rPr>
          <w:rFonts w:ascii="Calibri" w:hAnsi="Calibri" w:cs="Calibri"/>
          <w:sz w:val="22"/>
          <w:szCs w:val="22"/>
        </w:rPr>
        <w:t>s</w:t>
      </w:r>
      <w:r w:rsidRPr="000436B3">
        <w:rPr>
          <w:rFonts w:ascii="Calibri" w:hAnsi="Calibri" w:cs="Calibri"/>
          <w:sz w:val="22"/>
          <w:szCs w:val="22"/>
        </w:rPr>
        <w:t>, research institutions and academi</w:t>
      </w:r>
      <w:r w:rsidR="004B3178">
        <w:rPr>
          <w:rFonts w:ascii="Calibri" w:hAnsi="Calibri" w:cs="Calibri"/>
          <w:sz w:val="22"/>
          <w:szCs w:val="22"/>
        </w:rPr>
        <w:t>a</w:t>
      </w:r>
      <w:r>
        <w:rPr>
          <w:rFonts w:ascii="Calibri" w:hAnsi="Calibri" w:cs="Calibri"/>
          <w:sz w:val="22"/>
          <w:szCs w:val="22"/>
        </w:rPr>
        <w:t>)</w:t>
      </w:r>
      <w:r w:rsidRPr="000436B3">
        <w:rPr>
          <w:rFonts w:ascii="Calibri" w:hAnsi="Calibri" w:cs="Calibri"/>
          <w:sz w:val="22"/>
          <w:szCs w:val="22"/>
        </w:rPr>
        <w:t xml:space="preserve"> will be established. </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sidRPr="000436B3">
        <w:rPr>
          <w:rFonts w:ascii="Calibri" w:hAnsi="Calibri" w:cs="Calibri"/>
          <w:sz w:val="22"/>
          <w:szCs w:val="22"/>
        </w:rPr>
        <w:t>The expert presentations are expected to have a positive impact on projects/programmes implementation and to ease the netw</w:t>
      </w:r>
      <w:r>
        <w:rPr>
          <w:rFonts w:ascii="Calibri" w:hAnsi="Calibri" w:cs="Calibri"/>
          <w:sz w:val="22"/>
          <w:szCs w:val="22"/>
        </w:rPr>
        <w:t>orking and expert cooperation.</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sidRPr="000436B3">
        <w:rPr>
          <w:rFonts w:ascii="Calibri" w:hAnsi="Calibri" w:cs="Calibri"/>
          <w:sz w:val="22"/>
          <w:szCs w:val="22"/>
        </w:rPr>
        <w:t xml:space="preserve">New perspectives and opportunities for discussions, mutual learning and future dialogue; </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sidRPr="000436B3">
        <w:rPr>
          <w:rFonts w:ascii="Calibri" w:hAnsi="Calibri" w:cs="Calibri"/>
          <w:sz w:val="22"/>
          <w:szCs w:val="22"/>
        </w:rPr>
        <w:t>Exchange of ideas, experiences and solutions.</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sidRPr="000436B3">
        <w:rPr>
          <w:rFonts w:ascii="Calibri" w:hAnsi="Calibri" w:cs="Calibri"/>
          <w:sz w:val="22"/>
          <w:szCs w:val="22"/>
        </w:rPr>
        <w:t>Increased awareness of the EEA and Norway Grants</w:t>
      </w:r>
    </w:p>
    <w:p w:rsidR="008E26F4" w:rsidRPr="000436B3" w:rsidRDefault="008E26F4" w:rsidP="001E7A55">
      <w:pPr>
        <w:numPr>
          <w:ilvl w:val="0"/>
          <w:numId w:val="11"/>
        </w:numPr>
        <w:spacing w:line="240" w:lineRule="auto"/>
        <w:ind w:left="357" w:hanging="357"/>
        <w:jc w:val="both"/>
        <w:rPr>
          <w:rFonts w:ascii="Calibri" w:hAnsi="Calibri" w:cs="Calibri"/>
          <w:sz w:val="22"/>
          <w:szCs w:val="22"/>
        </w:rPr>
      </w:pPr>
      <w:r w:rsidRPr="000436B3">
        <w:rPr>
          <w:rFonts w:ascii="Calibri" w:hAnsi="Calibri" w:cs="Calibri"/>
          <w:sz w:val="22"/>
          <w:szCs w:val="22"/>
        </w:rPr>
        <w:t>Future co-operation defined.</w:t>
      </w:r>
    </w:p>
    <w:p w:rsidR="008E26F4" w:rsidRPr="000436B3" w:rsidRDefault="008E26F4" w:rsidP="001E7A55">
      <w:pPr>
        <w:autoSpaceDE w:val="0"/>
        <w:autoSpaceDN w:val="0"/>
        <w:adjustRightInd w:val="0"/>
        <w:spacing w:line="240" w:lineRule="auto"/>
        <w:jc w:val="both"/>
        <w:rPr>
          <w:rFonts w:ascii="Calibri" w:hAnsi="Calibri" w:cs="Calibri"/>
          <w:b/>
          <w:sz w:val="22"/>
          <w:szCs w:val="22"/>
        </w:rPr>
      </w:pPr>
    </w:p>
    <w:p w:rsidR="001E7A55" w:rsidRPr="000436B3" w:rsidRDefault="001E7A55" w:rsidP="001E7A55">
      <w:pPr>
        <w:spacing w:line="240" w:lineRule="auto"/>
        <w:rPr>
          <w:rFonts w:ascii="Calibri" w:hAnsi="Calibri" w:cs="Calibri"/>
          <w:sz w:val="22"/>
          <w:szCs w:val="22"/>
        </w:rPr>
      </w:pPr>
      <w:r w:rsidRPr="000436B3">
        <w:rPr>
          <w:rFonts w:ascii="Calibri" w:hAnsi="Calibri" w:cs="Calibri"/>
          <w:b/>
          <w:sz w:val="22"/>
          <w:szCs w:val="22"/>
        </w:rPr>
        <w:t>Indicative budget</w:t>
      </w:r>
      <w:r w:rsidRPr="000436B3">
        <w:rPr>
          <w:rFonts w:ascii="Calibri" w:hAnsi="Calibri" w:cs="Calibri"/>
          <w:sz w:val="22"/>
          <w:szCs w:val="22"/>
        </w:rPr>
        <w:t xml:space="preserve">: </w:t>
      </w:r>
    </w:p>
    <w:p w:rsidR="001E7A55" w:rsidRPr="000436B3" w:rsidRDefault="001E7A55" w:rsidP="001E7A55">
      <w:pPr>
        <w:pStyle w:val="Odstavekseznama"/>
        <w:numPr>
          <w:ilvl w:val="0"/>
          <w:numId w:val="38"/>
        </w:numPr>
        <w:spacing w:line="240" w:lineRule="auto"/>
        <w:contextualSpacing/>
        <w:jc w:val="both"/>
        <w:rPr>
          <w:rFonts w:ascii="Calibri" w:hAnsi="Calibri" w:cs="Calibri"/>
          <w:sz w:val="22"/>
          <w:szCs w:val="22"/>
        </w:rPr>
      </w:pPr>
      <w:r>
        <w:rPr>
          <w:rFonts w:ascii="Calibri" w:hAnsi="Calibri" w:cs="Calibri"/>
          <w:sz w:val="22"/>
          <w:szCs w:val="22"/>
          <w:u w:val="single"/>
        </w:rPr>
        <w:t>Study v</w:t>
      </w:r>
      <w:r w:rsidRPr="000436B3">
        <w:rPr>
          <w:rFonts w:ascii="Calibri" w:hAnsi="Calibri" w:cs="Calibri"/>
          <w:sz w:val="22"/>
          <w:szCs w:val="22"/>
          <w:u w:val="single"/>
        </w:rPr>
        <w:t>isit</w:t>
      </w:r>
      <w:r>
        <w:rPr>
          <w:rFonts w:ascii="Calibri" w:hAnsi="Calibri" w:cs="Calibri"/>
          <w:sz w:val="22"/>
          <w:szCs w:val="22"/>
        </w:rPr>
        <w:t>: 10</w:t>
      </w:r>
      <w:r w:rsidRPr="000436B3">
        <w:rPr>
          <w:rFonts w:ascii="Calibri" w:hAnsi="Calibri" w:cs="Calibri"/>
          <w:sz w:val="22"/>
          <w:szCs w:val="22"/>
        </w:rPr>
        <w:t>,000 EUR</w:t>
      </w:r>
    </w:p>
    <w:p w:rsidR="001E7A55" w:rsidRPr="000436B3" w:rsidRDefault="001E7A55" w:rsidP="001E7A55">
      <w:pPr>
        <w:pStyle w:val="Odstavekseznama"/>
        <w:numPr>
          <w:ilvl w:val="0"/>
          <w:numId w:val="38"/>
        </w:numPr>
        <w:spacing w:line="240" w:lineRule="auto"/>
        <w:contextualSpacing/>
        <w:jc w:val="both"/>
        <w:rPr>
          <w:rFonts w:ascii="Calibri" w:hAnsi="Calibri" w:cs="Calibri"/>
          <w:sz w:val="22"/>
          <w:szCs w:val="22"/>
        </w:rPr>
      </w:pPr>
      <w:r>
        <w:rPr>
          <w:rFonts w:ascii="Calibri" w:hAnsi="Calibri" w:cs="Calibri"/>
          <w:sz w:val="22"/>
          <w:szCs w:val="22"/>
          <w:u w:val="single"/>
        </w:rPr>
        <w:t>C</w:t>
      </w:r>
      <w:r w:rsidRPr="000436B3">
        <w:rPr>
          <w:rFonts w:ascii="Calibri" w:hAnsi="Calibri" w:cs="Calibri"/>
          <w:sz w:val="22"/>
          <w:szCs w:val="22"/>
          <w:u w:val="single"/>
        </w:rPr>
        <w:t>onference</w:t>
      </w:r>
      <w:r>
        <w:rPr>
          <w:rFonts w:ascii="Calibri" w:hAnsi="Calibri" w:cs="Calibri"/>
          <w:sz w:val="22"/>
          <w:szCs w:val="22"/>
        </w:rPr>
        <w:t>: 23,5</w:t>
      </w:r>
      <w:r w:rsidRPr="000436B3">
        <w:rPr>
          <w:rFonts w:ascii="Calibri" w:hAnsi="Calibri" w:cs="Calibri"/>
          <w:sz w:val="22"/>
          <w:szCs w:val="22"/>
        </w:rPr>
        <w:t>00 EUR</w:t>
      </w:r>
    </w:p>
    <w:p w:rsidR="001E7A55" w:rsidRPr="000436B3" w:rsidRDefault="001E7A55" w:rsidP="001E7A55">
      <w:pPr>
        <w:spacing w:line="240" w:lineRule="auto"/>
        <w:rPr>
          <w:rFonts w:ascii="Calibri" w:hAnsi="Calibri" w:cs="Calibri"/>
          <w:b/>
          <w:sz w:val="22"/>
          <w:szCs w:val="22"/>
        </w:rPr>
      </w:pPr>
      <w:r>
        <w:rPr>
          <w:rFonts w:ascii="Calibri" w:hAnsi="Calibri" w:cs="Calibri"/>
          <w:b/>
          <w:sz w:val="22"/>
          <w:szCs w:val="22"/>
        </w:rPr>
        <w:t>TOTAL: 33,5</w:t>
      </w:r>
      <w:r w:rsidRPr="000436B3">
        <w:rPr>
          <w:rFonts w:ascii="Calibri" w:hAnsi="Calibri" w:cs="Calibri"/>
          <w:b/>
          <w:sz w:val="22"/>
          <w:szCs w:val="22"/>
        </w:rPr>
        <w:t>00 EUR</w:t>
      </w:r>
    </w:p>
    <w:p w:rsidR="000436B3" w:rsidRDefault="000436B3" w:rsidP="001E7A55">
      <w:pPr>
        <w:jc w:val="both"/>
        <w:rPr>
          <w:rFonts w:ascii="Times New Roman" w:hAnsi="Times New Roman"/>
          <w:sz w:val="24"/>
        </w:rPr>
      </w:pPr>
    </w:p>
    <w:p w:rsidR="005C0670" w:rsidRDefault="005C0670" w:rsidP="001E7A55">
      <w:pPr>
        <w:jc w:val="both"/>
        <w:rPr>
          <w:rFonts w:ascii="Calibri" w:hAnsi="Calibri" w:cs="Calibri"/>
          <w:b/>
          <w:bCs/>
          <w:sz w:val="28"/>
          <w:szCs w:val="28"/>
        </w:rPr>
      </w:pPr>
    </w:p>
    <w:p w:rsidR="00A62834" w:rsidRDefault="001E7A55" w:rsidP="00A62834">
      <w:pPr>
        <w:pStyle w:val="Naslov2"/>
        <w:spacing w:before="0" w:after="0"/>
      </w:pPr>
      <w:r w:rsidRPr="00A62834">
        <w:t xml:space="preserve">PRIORITY </w:t>
      </w:r>
      <w:r w:rsidR="00440B84">
        <w:t>4</w:t>
      </w:r>
      <w:r w:rsidR="00440B84" w:rsidRPr="00A62834">
        <w:t xml:space="preserve"> </w:t>
      </w:r>
      <w:r w:rsidRPr="00A62834">
        <w:tab/>
      </w:r>
      <w:r w:rsidRPr="00A62834">
        <w:tab/>
        <w:t xml:space="preserve">Slovenian / EEA countries experiences in the past and future </w:t>
      </w:r>
    </w:p>
    <w:p w:rsidR="001E7A55" w:rsidRPr="00A62834" w:rsidRDefault="00A62834" w:rsidP="00A62834">
      <w:pPr>
        <w:pStyle w:val="Naslov2"/>
        <w:spacing w:before="0" w:after="0"/>
      </w:pPr>
      <w:r>
        <w:tab/>
      </w:r>
      <w:r>
        <w:tab/>
      </w:r>
      <w:r>
        <w:tab/>
      </w:r>
      <w:r w:rsidR="001E7A55" w:rsidRPr="00A62834">
        <w:t xml:space="preserve">European integration </w:t>
      </w:r>
    </w:p>
    <w:p w:rsidR="001E7A55" w:rsidRDefault="001E7A55" w:rsidP="001E7A55">
      <w:pPr>
        <w:jc w:val="both"/>
        <w:rPr>
          <w:rFonts w:ascii="Calibri" w:hAnsi="Calibri" w:cs="Calibri"/>
          <w:b/>
          <w:sz w:val="22"/>
          <w:szCs w:val="22"/>
        </w:rPr>
      </w:pPr>
    </w:p>
    <w:p w:rsidR="001E7A55" w:rsidRPr="000436B3" w:rsidRDefault="001E7A55" w:rsidP="001E7A55">
      <w:pPr>
        <w:jc w:val="both"/>
        <w:rPr>
          <w:rFonts w:ascii="Calibri" w:hAnsi="Calibri" w:cs="Calibri"/>
          <w:sz w:val="22"/>
          <w:szCs w:val="22"/>
        </w:rPr>
      </w:pPr>
      <w:r w:rsidRPr="000436B3">
        <w:rPr>
          <w:rFonts w:ascii="Calibri" w:hAnsi="Calibri" w:cs="Calibri"/>
          <w:b/>
          <w:sz w:val="22"/>
          <w:szCs w:val="22"/>
        </w:rPr>
        <w:t>Priority sector</w:t>
      </w:r>
      <w:r w:rsidRPr="000436B3">
        <w:rPr>
          <w:rFonts w:ascii="Calibri" w:hAnsi="Calibri" w:cs="Calibri"/>
          <w:sz w:val="22"/>
          <w:szCs w:val="22"/>
        </w:rPr>
        <w:t>: Human and social development</w:t>
      </w:r>
    </w:p>
    <w:p w:rsidR="001E7A55" w:rsidRDefault="001E7A55" w:rsidP="001E7A55">
      <w:pPr>
        <w:jc w:val="both"/>
        <w:rPr>
          <w:rFonts w:ascii="Calibri" w:hAnsi="Calibri" w:cs="Calibri"/>
          <w:sz w:val="22"/>
          <w:szCs w:val="22"/>
        </w:rPr>
      </w:pPr>
      <w:r w:rsidRPr="000436B3">
        <w:rPr>
          <w:rFonts w:ascii="Calibri" w:hAnsi="Calibri" w:cs="Calibri"/>
          <w:sz w:val="22"/>
          <w:szCs w:val="22"/>
        </w:rPr>
        <w:br/>
      </w:r>
      <w:r w:rsidRPr="000436B3">
        <w:rPr>
          <w:rFonts w:ascii="Calibri" w:hAnsi="Calibri" w:cs="Calibri"/>
          <w:b/>
          <w:sz w:val="22"/>
          <w:szCs w:val="22"/>
        </w:rPr>
        <w:t>Type of activity</w:t>
      </w:r>
      <w:r w:rsidRPr="000436B3">
        <w:rPr>
          <w:rFonts w:ascii="Calibri" w:hAnsi="Calibri" w:cs="Calibri"/>
          <w:sz w:val="22"/>
          <w:szCs w:val="22"/>
        </w:rPr>
        <w:t xml:space="preserve">: </w:t>
      </w:r>
    </w:p>
    <w:p w:rsidR="001E7A55" w:rsidRDefault="001E7A55" w:rsidP="001E7A55">
      <w:pPr>
        <w:pStyle w:val="Odstavekseznama"/>
        <w:numPr>
          <w:ilvl w:val="0"/>
          <w:numId w:val="40"/>
        </w:numPr>
        <w:jc w:val="both"/>
        <w:rPr>
          <w:rFonts w:ascii="Calibri" w:hAnsi="Calibri" w:cs="Calibri"/>
          <w:sz w:val="22"/>
          <w:szCs w:val="22"/>
        </w:rPr>
      </w:pPr>
      <w:r w:rsidRPr="00164ABB">
        <w:rPr>
          <w:rFonts w:ascii="Calibri" w:hAnsi="Calibri" w:cs="Calibri"/>
          <w:sz w:val="22"/>
          <w:szCs w:val="22"/>
        </w:rPr>
        <w:t>Slovenian-</w:t>
      </w:r>
      <w:r>
        <w:rPr>
          <w:rFonts w:ascii="Calibri" w:hAnsi="Calibri" w:cs="Calibri"/>
          <w:sz w:val="22"/>
          <w:szCs w:val="22"/>
        </w:rPr>
        <w:t>EEA</w:t>
      </w:r>
      <w:r w:rsidRPr="00164ABB">
        <w:rPr>
          <w:rFonts w:ascii="Calibri" w:hAnsi="Calibri" w:cs="Calibri"/>
          <w:sz w:val="22"/>
          <w:szCs w:val="22"/>
        </w:rPr>
        <w:t xml:space="preserve"> conference in Ljubljana focusing on different models of past and future European integration / view from th</w:t>
      </w:r>
      <w:r w:rsidR="002B5F6E">
        <w:rPr>
          <w:rFonts w:ascii="Calibri" w:hAnsi="Calibri" w:cs="Calibri"/>
          <w:sz w:val="22"/>
          <w:szCs w:val="22"/>
        </w:rPr>
        <w:t>e inside and outside of the EU;</w:t>
      </w:r>
    </w:p>
    <w:p w:rsidR="001E7A55" w:rsidRPr="00164ABB" w:rsidRDefault="004E5259" w:rsidP="001E7A55">
      <w:pPr>
        <w:pStyle w:val="Odstavekseznama"/>
        <w:numPr>
          <w:ilvl w:val="0"/>
          <w:numId w:val="40"/>
        </w:numPr>
        <w:jc w:val="both"/>
        <w:rPr>
          <w:rFonts w:ascii="Calibri" w:hAnsi="Calibri" w:cs="Calibri"/>
          <w:sz w:val="22"/>
          <w:szCs w:val="22"/>
        </w:rPr>
      </w:pPr>
      <w:r>
        <w:rPr>
          <w:rFonts w:ascii="Calibri" w:hAnsi="Calibri" w:cs="Calibri"/>
          <w:sz w:val="22"/>
          <w:szCs w:val="22"/>
        </w:rPr>
        <w:t>S</w:t>
      </w:r>
      <w:r w:rsidR="001E7A55" w:rsidRPr="00164ABB">
        <w:rPr>
          <w:rFonts w:ascii="Calibri" w:hAnsi="Calibri" w:cs="Calibri"/>
          <w:sz w:val="22"/>
          <w:szCs w:val="22"/>
        </w:rPr>
        <w:t>tudy visit</w:t>
      </w:r>
      <w:r w:rsidR="001E7A55">
        <w:rPr>
          <w:rFonts w:ascii="Calibri" w:hAnsi="Calibri" w:cs="Calibri"/>
          <w:sz w:val="22"/>
          <w:szCs w:val="22"/>
        </w:rPr>
        <w:t>.</w:t>
      </w:r>
    </w:p>
    <w:p w:rsidR="001E7A55" w:rsidRPr="000436B3" w:rsidRDefault="001E7A55" w:rsidP="001E7A55">
      <w:pPr>
        <w:jc w:val="both"/>
        <w:rPr>
          <w:rFonts w:ascii="Calibri" w:hAnsi="Calibri" w:cs="Calibri"/>
          <w:sz w:val="22"/>
          <w:szCs w:val="22"/>
        </w:rPr>
      </w:pPr>
    </w:p>
    <w:p w:rsidR="00AE1137" w:rsidRDefault="001E7A55" w:rsidP="001E7A55">
      <w:pPr>
        <w:jc w:val="both"/>
        <w:rPr>
          <w:rFonts w:ascii="Calibri" w:hAnsi="Calibri" w:cs="Calibri"/>
          <w:sz w:val="22"/>
          <w:szCs w:val="22"/>
        </w:rPr>
      </w:pPr>
      <w:r w:rsidRPr="000436B3">
        <w:rPr>
          <w:rFonts w:ascii="Calibri" w:hAnsi="Calibri" w:cs="Calibri"/>
          <w:b/>
          <w:sz w:val="22"/>
          <w:szCs w:val="22"/>
        </w:rPr>
        <w:t>Organiser</w:t>
      </w:r>
      <w:r w:rsidRPr="000436B3">
        <w:rPr>
          <w:rFonts w:ascii="Calibri" w:hAnsi="Calibri" w:cs="Calibri"/>
          <w:sz w:val="22"/>
          <w:szCs w:val="22"/>
        </w:rPr>
        <w:t xml:space="preserve">: </w:t>
      </w:r>
    </w:p>
    <w:p w:rsidR="00AE1137" w:rsidRDefault="00AE1137" w:rsidP="00AE1137">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Responsible institution</w:t>
      </w:r>
      <w:r>
        <w:rPr>
          <w:rFonts w:ascii="Calibri" w:hAnsi="Calibri" w:cs="Calibri"/>
          <w:sz w:val="22"/>
          <w:szCs w:val="22"/>
        </w:rPr>
        <w:t>: NFP (management, public procurement, organizational issues, payments and reporting);</w:t>
      </w:r>
    </w:p>
    <w:p w:rsidR="00AE1137" w:rsidRDefault="00AE1137" w:rsidP="00AE1137">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Applicant institution</w:t>
      </w:r>
      <w:r>
        <w:rPr>
          <w:rFonts w:ascii="Calibri" w:hAnsi="Calibri" w:cs="Calibri"/>
          <w:sz w:val="22"/>
          <w:szCs w:val="22"/>
        </w:rPr>
        <w:t>:</w:t>
      </w:r>
      <w:r w:rsidRPr="008963AC">
        <w:rPr>
          <w:rFonts w:ascii="Calibri" w:hAnsi="Calibri" w:cs="Calibri"/>
          <w:sz w:val="22"/>
          <w:szCs w:val="22"/>
        </w:rPr>
        <w:t xml:space="preserve"> </w:t>
      </w:r>
      <w:r w:rsidRPr="00AE1137">
        <w:rPr>
          <w:rFonts w:ascii="Calibri" w:hAnsi="Calibri" w:cs="Calibri"/>
          <w:sz w:val="22"/>
          <w:szCs w:val="22"/>
        </w:rPr>
        <w:t xml:space="preserve">Ministry of Foreign Affairs </w:t>
      </w:r>
      <w:r>
        <w:rPr>
          <w:rFonts w:ascii="Calibri" w:hAnsi="Calibri" w:cs="Calibri"/>
          <w:sz w:val="22"/>
          <w:szCs w:val="22"/>
        </w:rPr>
        <w:t>(Slovenia)</w:t>
      </w:r>
      <w:r w:rsidRPr="00AE1137">
        <w:rPr>
          <w:rFonts w:ascii="Calibri" w:hAnsi="Calibri" w:cs="Calibri"/>
          <w:sz w:val="22"/>
          <w:szCs w:val="22"/>
        </w:rPr>
        <w:t xml:space="preserve"> </w:t>
      </w:r>
    </w:p>
    <w:p w:rsidR="00AE1137" w:rsidRDefault="00AE1137" w:rsidP="001E7A55">
      <w:pPr>
        <w:pStyle w:val="Odstavekseznama"/>
        <w:numPr>
          <w:ilvl w:val="0"/>
          <w:numId w:val="42"/>
        </w:numPr>
        <w:jc w:val="both"/>
        <w:rPr>
          <w:rFonts w:ascii="Calibri" w:hAnsi="Calibri" w:cs="Calibri"/>
          <w:sz w:val="22"/>
          <w:szCs w:val="22"/>
        </w:rPr>
      </w:pPr>
      <w:r w:rsidRPr="00AE1137">
        <w:rPr>
          <w:rFonts w:ascii="Calibri" w:hAnsi="Calibri" w:cs="Calibri"/>
          <w:sz w:val="22"/>
          <w:szCs w:val="22"/>
          <w:u w:val="single"/>
        </w:rPr>
        <w:t>Other institutions involved in implementation of activities</w:t>
      </w:r>
      <w:r w:rsidRPr="00AE1137">
        <w:rPr>
          <w:rFonts w:ascii="Calibri" w:hAnsi="Calibri" w:cs="Calibri"/>
          <w:sz w:val="22"/>
          <w:szCs w:val="22"/>
        </w:rPr>
        <w:t xml:space="preserve">: </w:t>
      </w:r>
      <w:r>
        <w:rPr>
          <w:rFonts w:ascii="Calibri" w:hAnsi="Calibri" w:cs="Calibri"/>
          <w:sz w:val="22"/>
          <w:szCs w:val="22"/>
        </w:rPr>
        <w:t>Ministry of Foreign Affairs (</w:t>
      </w:r>
      <w:r w:rsidRPr="00AE1137">
        <w:rPr>
          <w:rFonts w:ascii="Calibri" w:hAnsi="Calibri" w:cs="Calibri"/>
          <w:sz w:val="22"/>
          <w:szCs w:val="22"/>
        </w:rPr>
        <w:t>Norway</w:t>
      </w:r>
      <w:r>
        <w:rPr>
          <w:rFonts w:ascii="Calibri" w:hAnsi="Calibri" w:cs="Calibri"/>
          <w:sz w:val="22"/>
          <w:szCs w:val="22"/>
        </w:rPr>
        <w:t>)</w:t>
      </w:r>
      <w:r w:rsidRPr="00AE1137">
        <w:rPr>
          <w:rFonts w:ascii="Calibri" w:hAnsi="Calibri" w:cs="Calibri"/>
          <w:sz w:val="22"/>
          <w:szCs w:val="22"/>
        </w:rPr>
        <w:t xml:space="preserve"> in co-operation with the Norwegian Embassy in Budapest</w:t>
      </w:r>
      <w:r>
        <w:rPr>
          <w:rFonts w:ascii="Calibri" w:hAnsi="Calibri" w:cs="Calibri"/>
          <w:sz w:val="22"/>
          <w:szCs w:val="22"/>
        </w:rPr>
        <w:t>.</w:t>
      </w:r>
    </w:p>
    <w:p w:rsidR="00AE1137" w:rsidRDefault="00AE1137" w:rsidP="00AE1137">
      <w:pPr>
        <w:pStyle w:val="Odstavekseznama"/>
        <w:ind w:left="720"/>
        <w:jc w:val="both"/>
        <w:rPr>
          <w:rFonts w:ascii="Calibri" w:hAnsi="Calibri" w:cs="Calibri"/>
          <w:sz w:val="22"/>
          <w:szCs w:val="22"/>
        </w:rPr>
      </w:pPr>
    </w:p>
    <w:p w:rsidR="001E7A55" w:rsidRPr="00AE1137" w:rsidRDefault="001E7A55" w:rsidP="00AE1137">
      <w:pPr>
        <w:jc w:val="both"/>
        <w:rPr>
          <w:rFonts w:ascii="Calibri" w:hAnsi="Calibri" w:cs="Calibri"/>
          <w:sz w:val="22"/>
          <w:szCs w:val="22"/>
        </w:rPr>
      </w:pPr>
      <w:r w:rsidRPr="00AE1137">
        <w:rPr>
          <w:rFonts w:ascii="Calibri" w:hAnsi="Calibri" w:cs="Calibri"/>
          <w:b/>
          <w:sz w:val="22"/>
          <w:szCs w:val="22"/>
        </w:rPr>
        <w:t>Possible time</w:t>
      </w:r>
      <w:r w:rsidRPr="00AE1137">
        <w:rPr>
          <w:rFonts w:ascii="Calibri" w:hAnsi="Calibri" w:cs="Calibri"/>
          <w:sz w:val="22"/>
          <w:szCs w:val="22"/>
        </w:rPr>
        <w:t xml:space="preserve">: </w:t>
      </w:r>
    </w:p>
    <w:p w:rsidR="004E5259" w:rsidRDefault="004E5259" w:rsidP="001E7A55">
      <w:pPr>
        <w:numPr>
          <w:ilvl w:val="0"/>
          <w:numId w:val="39"/>
        </w:numPr>
        <w:jc w:val="both"/>
        <w:rPr>
          <w:rFonts w:ascii="Calibri" w:hAnsi="Calibri" w:cs="Calibri"/>
          <w:sz w:val="22"/>
          <w:szCs w:val="22"/>
        </w:rPr>
      </w:pPr>
      <w:r w:rsidRPr="004E5259">
        <w:rPr>
          <w:rFonts w:ascii="Calibri" w:hAnsi="Calibri" w:cs="Calibri"/>
          <w:sz w:val="22"/>
          <w:szCs w:val="22"/>
        </w:rPr>
        <w:t xml:space="preserve">Study visit: </w:t>
      </w:r>
      <w:r w:rsidR="001E7A55" w:rsidRPr="004E5259">
        <w:rPr>
          <w:rFonts w:ascii="Calibri" w:hAnsi="Calibri" w:cs="Calibri"/>
          <w:sz w:val="22"/>
          <w:szCs w:val="22"/>
        </w:rPr>
        <w:t>1</w:t>
      </w:r>
      <w:r w:rsidR="001E7A55" w:rsidRPr="004E5259">
        <w:rPr>
          <w:rFonts w:ascii="Calibri" w:hAnsi="Calibri" w:cs="Calibri"/>
          <w:sz w:val="22"/>
          <w:szCs w:val="22"/>
          <w:vertAlign w:val="superscript"/>
        </w:rPr>
        <w:t>st</w:t>
      </w:r>
      <w:r w:rsidR="001E7A55" w:rsidRPr="004E5259">
        <w:rPr>
          <w:rFonts w:ascii="Calibri" w:hAnsi="Calibri" w:cs="Calibri"/>
          <w:sz w:val="22"/>
          <w:szCs w:val="22"/>
        </w:rPr>
        <w:t xml:space="preserve"> half of 2013</w:t>
      </w:r>
    </w:p>
    <w:p w:rsidR="001E7A55" w:rsidRPr="004E5259" w:rsidRDefault="004E5259" w:rsidP="001E7A55">
      <w:pPr>
        <w:numPr>
          <w:ilvl w:val="0"/>
          <w:numId w:val="39"/>
        </w:numPr>
        <w:jc w:val="both"/>
        <w:rPr>
          <w:rFonts w:ascii="Calibri" w:hAnsi="Calibri" w:cs="Calibri"/>
          <w:sz w:val="22"/>
          <w:szCs w:val="22"/>
        </w:rPr>
      </w:pPr>
      <w:r>
        <w:rPr>
          <w:rFonts w:ascii="Calibri" w:hAnsi="Calibri" w:cs="Calibri"/>
          <w:sz w:val="22"/>
          <w:szCs w:val="22"/>
        </w:rPr>
        <w:t xml:space="preserve">Conference: </w:t>
      </w:r>
      <w:r w:rsidR="001E7A55" w:rsidRPr="004E5259">
        <w:rPr>
          <w:rFonts w:ascii="Calibri" w:hAnsi="Calibri" w:cs="Calibri"/>
          <w:sz w:val="22"/>
          <w:szCs w:val="22"/>
        </w:rPr>
        <w:t>2</w:t>
      </w:r>
      <w:r w:rsidR="001E7A55" w:rsidRPr="004E5259">
        <w:rPr>
          <w:rFonts w:ascii="Calibri" w:hAnsi="Calibri" w:cs="Calibri"/>
          <w:sz w:val="22"/>
          <w:szCs w:val="22"/>
          <w:vertAlign w:val="superscript"/>
        </w:rPr>
        <w:t>nd</w:t>
      </w:r>
      <w:r w:rsidR="001E7A55" w:rsidRPr="004E5259">
        <w:rPr>
          <w:rFonts w:ascii="Calibri" w:hAnsi="Calibri" w:cs="Calibri"/>
          <w:sz w:val="22"/>
          <w:szCs w:val="22"/>
        </w:rPr>
        <w:t xml:space="preserve"> half of 2013 (October – December</w:t>
      </w:r>
      <w:r>
        <w:rPr>
          <w:rFonts w:ascii="Calibri" w:hAnsi="Calibri" w:cs="Calibri"/>
          <w:sz w:val="22"/>
          <w:szCs w:val="22"/>
        </w:rPr>
        <w:t>)</w:t>
      </w:r>
    </w:p>
    <w:p w:rsidR="001E7A55" w:rsidRPr="000436B3" w:rsidRDefault="001E7A55" w:rsidP="001E7A55">
      <w:pPr>
        <w:jc w:val="both"/>
        <w:rPr>
          <w:rFonts w:ascii="Calibri" w:hAnsi="Calibri" w:cs="Calibri"/>
          <w:sz w:val="22"/>
          <w:szCs w:val="22"/>
        </w:rPr>
      </w:pPr>
    </w:p>
    <w:p w:rsidR="001E7A55" w:rsidRDefault="001E7A55" w:rsidP="001E7A55">
      <w:pPr>
        <w:jc w:val="both"/>
        <w:rPr>
          <w:rFonts w:ascii="Calibri" w:hAnsi="Calibri" w:cs="Calibri"/>
          <w:sz w:val="22"/>
          <w:szCs w:val="22"/>
        </w:rPr>
      </w:pPr>
      <w:r w:rsidRPr="000436B3">
        <w:rPr>
          <w:rFonts w:ascii="Calibri" w:hAnsi="Calibri" w:cs="Calibri"/>
          <w:b/>
          <w:sz w:val="22"/>
          <w:szCs w:val="22"/>
        </w:rPr>
        <w:t>Main goal</w:t>
      </w:r>
      <w:r w:rsidRPr="000436B3">
        <w:rPr>
          <w:rFonts w:ascii="Calibri" w:hAnsi="Calibri" w:cs="Calibri"/>
          <w:sz w:val="22"/>
          <w:szCs w:val="22"/>
        </w:rPr>
        <w:t>: The objective of the conference is</w:t>
      </w:r>
      <w:r>
        <w:rPr>
          <w:rFonts w:ascii="Calibri" w:hAnsi="Calibri" w:cs="Calibri"/>
          <w:sz w:val="22"/>
          <w:szCs w:val="22"/>
        </w:rPr>
        <w:t xml:space="preserve"> to</w:t>
      </w:r>
      <w:r w:rsidRPr="000436B3">
        <w:rPr>
          <w:rFonts w:ascii="Calibri" w:hAnsi="Calibri" w:cs="Calibri"/>
          <w:sz w:val="22"/>
          <w:szCs w:val="22"/>
        </w:rPr>
        <w:t xml:space="preserve"> </w:t>
      </w:r>
      <w:r>
        <w:rPr>
          <w:rFonts w:ascii="Calibri" w:hAnsi="Calibri" w:cs="Calibri"/>
          <w:sz w:val="22"/>
          <w:szCs w:val="22"/>
        </w:rPr>
        <w:t>exchange</w:t>
      </w:r>
      <w:r w:rsidRPr="000436B3">
        <w:rPr>
          <w:rFonts w:ascii="Calibri" w:hAnsi="Calibri" w:cs="Calibri"/>
          <w:sz w:val="22"/>
          <w:szCs w:val="22"/>
        </w:rPr>
        <w:t xml:space="preserve"> Slovenian</w:t>
      </w:r>
      <w:r>
        <w:rPr>
          <w:rFonts w:ascii="Calibri" w:hAnsi="Calibri" w:cs="Calibri"/>
          <w:sz w:val="22"/>
          <w:szCs w:val="22"/>
        </w:rPr>
        <w:t xml:space="preserve"> and EEA countries </w:t>
      </w:r>
      <w:r w:rsidRPr="000436B3">
        <w:rPr>
          <w:rFonts w:ascii="Calibri" w:hAnsi="Calibri" w:cs="Calibri"/>
          <w:sz w:val="22"/>
          <w:szCs w:val="22"/>
        </w:rPr>
        <w:t>experiences</w:t>
      </w:r>
      <w:r>
        <w:rPr>
          <w:rFonts w:ascii="Calibri" w:hAnsi="Calibri" w:cs="Calibri"/>
          <w:sz w:val="22"/>
          <w:szCs w:val="22"/>
        </w:rPr>
        <w:t xml:space="preserve"> with different models of European integration. </w:t>
      </w:r>
      <w:r w:rsidRPr="000436B3">
        <w:rPr>
          <w:rFonts w:ascii="Calibri" w:hAnsi="Calibri" w:cs="Calibri"/>
          <w:sz w:val="22"/>
          <w:szCs w:val="22"/>
        </w:rPr>
        <w:t>Slovenia</w:t>
      </w:r>
      <w:r>
        <w:rPr>
          <w:rFonts w:ascii="Calibri" w:hAnsi="Calibri" w:cs="Calibri"/>
          <w:sz w:val="22"/>
          <w:szCs w:val="22"/>
        </w:rPr>
        <w:t>n</w:t>
      </w:r>
      <w:r w:rsidRPr="000436B3">
        <w:rPr>
          <w:rFonts w:ascii="Calibri" w:hAnsi="Calibri" w:cs="Calibri"/>
          <w:sz w:val="22"/>
          <w:szCs w:val="22"/>
        </w:rPr>
        <w:t xml:space="preserve"> experiences as a </w:t>
      </w:r>
      <w:r>
        <w:rPr>
          <w:rFonts w:ascii="Calibri" w:hAnsi="Calibri" w:cs="Calibri"/>
          <w:sz w:val="22"/>
          <w:szCs w:val="22"/>
        </w:rPr>
        <w:t>(</w:t>
      </w:r>
      <w:r w:rsidRPr="000436B3">
        <w:rPr>
          <w:rFonts w:ascii="Calibri" w:hAnsi="Calibri" w:cs="Calibri"/>
          <w:sz w:val="22"/>
          <w:szCs w:val="22"/>
        </w:rPr>
        <w:t>small</w:t>
      </w:r>
      <w:r>
        <w:rPr>
          <w:rFonts w:ascii="Calibri" w:hAnsi="Calibri" w:cs="Calibri"/>
          <w:sz w:val="22"/>
          <w:szCs w:val="22"/>
        </w:rPr>
        <w:t>)</w:t>
      </w:r>
      <w:r w:rsidRPr="000436B3">
        <w:rPr>
          <w:rFonts w:ascii="Calibri" w:hAnsi="Calibri" w:cs="Calibri"/>
          <w:sz w:val="22"/>
          <w:szCs w:val="22"/>
        </w:rPr>
        <w:t xml:space="preserve"> </w:t>
      </w:r>
      <w:r>
        <w:rPr>
          <w:rFonts w:ascii="Calibri" w:hAnsi="Calibri" w:cs="Calibri"/>
          <w:sz w:val="22"/>
          <w:szCs w:val="22"/>
        </w:rPr>
        <w:t>EU M</w:t>
      </w:r>
      <w:r w:rsidRPr="000436B3">
        <w:rPr>
          <w:rFonts w:ascii="Calibri" w:hAnsi="Calibri" w:cs="Calibri"/>
          <w:sz w:val="22"/>
          <w:szCs w:val="22"/>
        </w:rPr>
        <w:t>ember</w:t>
      </w:r>
      <w:r>
        <w:rPr>
          <w:rFonts w:ascii="Calibri" w:hAnsi="Calibri" w:cs="Calibri"/>
          <w:sz w:val="22"/>
          <w:szCs w:val="22"/>
        </w:rPr>
        <w:t xml:space="preserve"> State, EEA model of cooperation with the EU, view from a candidate country </w:t>
      </w:r>
      <w:bookmarkStart w:id="1" w:name="_GoBack"/>
      <w:bookmarkEnd w:id="1"/>
      <w:r>
        <w:rPr>
          <w:rFonts w:ascii="Calibri" w:hAnsi="Calibri" w:cs="Calibri"/>
          <w:sz w:val="22"/>
          <w:szCs w:val="22"/>
        </w:rPr>
        <w:lastRenderedPageBreak/>
        <w:t xml:space="preserve">(Iceland). </w:t>
      </w:r>
      <w:r w:rsidRPr="000436B3">
        <w:rPr>
          <w:rFonts w:ascii="Calibri" w:hAnsi="Calibri" w:cs="Calibri"/>
          <w:sz w:val="22"/>
          <w:szCs w:val="22"/>
        </w:rPr>
        <w:t xml:space="preserve">The event </w:t>
      </w:r>
      <w:r>
        <w:rPr>
          <w:rFonts w:ascii="Calibri" w:hAnsi="Calibri" w:cs="Calibri"/>
          <w:sz w:val="22"/>
          <w:szCs w:val="22"/>
        </w:rPr>
        <w:t xml:space="preserve">should have a strong focus on the discussion on the future of the EU with an in-depth analysis of proposed solutions and consequences for the inside and outside of the EU. </w:t>
      </w:r>
    </w:p>
    <w:p w:rsidR="001E7A55" w:rsidRPr="000436B3" w:rsidRDefault="001E7A55" w:rsidP="001E7A55">
      <w:pPr>
        <w:jc w:val="both"/>
        <w:rPr>
          <w:rFonts w:ascii="Calibri" w:hAnsi="Calibri" w:cs="Calibri"/>
          <w:sz w:val="22"/>
          <w:szCs w:val="22"/>
        </w:rPr>
      </w:pPr>
    </w:p>
    <w:p w:rsidR="001E7A55" w:rsidRPr="000436B3" w:rsidRDefault="001E7A55" w:rsidP="001E7A55">
      <w:pPr>
        <w:jc w:val="both"/>
        <w:rPr>
          <w:rFonts w:ascii="Calibri" w:hAnsi="Calibri" w:cs="Calibri"/>
          <w:sz w:val="22"/>
          <w:szCs w:val="22"/>
        </w:rPr>
      </w:pPr>
      <w:r w:rsidRPr="000436B3">
        <w:rPr>
          <w:rFonts w:ascii="Calibri" w:hAnsi="Calibri" w:cs="Calibri"/>
          <w:b/>
          <w:sz w:val="22"/>
          <w:szCs w:val="22"/>
        </w:rPr>
        <w:t>Target group</w:t>
      </w:r>
      <w:r w:rsidR="004E5259">
        <w:rPr>
          <w:rFonts w:ascii="Calibri" w:hAnsi="Calibri" w:cs="Calibri"/>
          <w:b/>
          <w:sz w:val="22"/>
          <w:szCs w:val="22"/>
        </w:rPr>
        <w:t>s</w:t>
      </w:r>
      <w:r w:rsidRPr="000436B3">
        <w:rPr>
          <w:rFonts w:ascii="Calibri" w:hAnsi="Calibri" w:cs="Calibri"/>
          <w:sz w:val="22"/>
          <w:szCs w:val="22"/>
        </w:rPr>
        <w:t xml:space="preserve">: research institutions, academics and think tanks, relevant NGOs and civil servants from </w:t>
      </w:r>
      <w:r>
        <w:rPr>
          <w:rFonts w:ascii="Calibri" w:hAnsi="Calibri" w:cs="Calibri"/>
          <w:sz w:val="22"/>
          <w:szCs w:val="22"/>
        </w:rPr>
        <w:t>participating</w:t>
      </w:r>
      <w:r w:rsidRPr="000436B3">
        <w:rPr>
          <w:rFonts w:ascii="Calibri" w:hAnsi="Calibri" w:cs="Calibri"/>
          <w:sz w:val="22"/>
          <w:szCs w:val="22"/>
        </w:rPr>
        <w:t xml:space="preserve"> countries and possibly third countries.</w:t>
      </w:r>
    </w:p>
    <w:p w:rsidR="001E7A55" w:rsidRPr="000436B3" w:rsidRDefault="001E7A55" w:rsidP="001E7A55">
      <w:pPr>
        <w:autoSpaceDE w:val="0"/>
        <w:autoSpaceDN w:val="0"/>
        <w:adjustRightInd w:val="0"/>
        <w:spacing w:line="240" w:lineRule="auto"/>
        <w:jc w:val="both"/>
        <w:rPr>
          <w:rFonts w:ascii="Calibri" w:hAnsi="Calibri" w:cs="Calibri"/>
          <w:b/>
          <w:sz w:val="22"/>
          <w:szCs w:val="22"/>
        </w:rPr>
      </w:pPr>
    </w:p>
    <w:p w:rsidR="004E5259" w:rsidRDefault="001E7A55" w:rsidP="001E7A55">
      <w:pPr>
        <w:jc w:val="both"/>
        <w:rPr>
          <w:rFonts w:ascii="Calibri" w:hAnsi="Calibri" w:cs="Calibri"/>
          <w:sz w:val="22"/>
          <w:szCs w:val="22"/>
        </w:rPr>
      </w:pPr>
      <w:r w:rsidRPr="000436B3">
        <w:rPr>
          <w:rFonts w:ascii="Calibri" w:hAnsi="Calibri" w:cs="Calibri"/>
          <w:b/>
          <w:sz w:val="22"/>
          <w:szCs w:val="22"/>
        </w:rPr>
        <w:t>Justification</w:t>
      </w:r>
      <w:r w:rsidRPr="000436B3">
        <w:rPr>
          <w:rFonts w:ascii="Calibri" w:hAnsi="Calibri" w:cs="Calibri"/>
          <w:sz w:val="22"/>
          <w:szCs w:val="22"/>
        </w:rPr>
        <w:t xml:space="preserve">: </w:t>
      </w:r>
    </w:p>
    <w:p w:rsidR="001E7A55" w:rsidRDefault="001E7A55" w:rsidP="001E7A55">
      <w:pPr>
        <w:jc w:val="both"/>
        <w:rPr>
          <w:rFonts w:ascii="Calibri" w:hAnsi="Calibri" w:cs="Calibri"/>
          <w:sz w:val="22"/>
          <w:szCs w:val="22"/>
        </w:rPr>
      </w:pPr>
      <w:r w:rsidRPr="000436B3">
        <w:rPr>
          <w:rFonts w:ascii="Calibri" w:hAnsi="Calibri" w:cs="Calibri"/>
          <w:sz w:val="22"/>
          <w:szCs w:val="22"/>
        </w:rPr>
        <w:t>The topic has been proposed by the Norwegian Embassy in Budapest</w:t>
      </w:r>
      <w:r>
        <w:rPr>
          <w:rFonts w:ascii="Calibri" w:hAnsi="Calibri" w:cs="Calibri"/>
          <w:sz w:val="22"/>
          <w:szCs w:val="22"/>
        </w:rPr>
        <w:t xml:space="preserve"> in cooperation with the Ministry of Foreign Affairs of Slovenia</w:t>
      </w:r>
      <w:r w:rsidRPr="000436B3">
        <w:rPr>
          <w:rFonts w:ascii="Calibri" w:hAnsi="Calibri" w:cs="Calibri"/>
          <w:sz w:val="22"/>
          <w:szCs w:val="22"/>
        </w:rPr>
        <w:t>.</w:t>
      </w:r>
      <w:r>
        <w:rPr>
          <w:rFonts w:ascii="Calibri" w:hAnsi="Calibri" w:cs="Calibri"/>
          <w:sz w:val="22"/>
          <w:szCs w:val="22"/>
        </w:rPr>
        <w:t xml:space="preserve"> The conference will feed in perfectly into the broad national discussion on the future position of Slovenia within the changing EU. The organisation of the conference (and possible study visit) will strengthen relations between Slovenia and EEA countries on expert and political levels. </w:t>
      </w:r>
    </w:p>
    <w:p w:rsidR="004E5259" w:rsidRDefault="004E5259" w:rsidP="001E7A55">
      <w:pPr>
        <w:jc w:val="both"/>
        <w:rPr>
          <w:rFonts w:ascii="Calibri" w:hAnsi="Calibri" w:cs="Calibri"/>
          <w:sz w:val="22"/>
          <w:szCs w:val="22"/>
          <w:u w:val="single"/>
        </w:rPr>
      </w:pPr>
    </w:p>
    <w:p w:rsidR="001E7A55" w:rsidRPr="004E5259" w:rsidRDefault="001E7A55" w:rsidP="001E7A55">
      <w:pPr>
        <w:jc w:val="both"/>
        <w:rPr>
          <w:rFonts w:ascii="Calibri" w:hAnsi="Calibri" w:cs="Calibri"/>
          <w:sz w:val="22"/>
          <w:szCs w:val="22"/>
          <w:u w:val="single"/>
        </w:rPr>
      </w:pPr>
      <w:r w:rsidRPr="004E5259">
        <w:rPr>
          <w:rFonts w:ascii="Calibri" w:hAnsi="Calibri" w:cs="Calibri"/>
          <w:sz w:val="22"/>
          <w:szCs w:val="22"/>
          <w:u w:val="single"/>
        </w:rPr>
        <w:t>Focus should be on the following topics:</w:t>
      </w:r>
    </w:p>
    <w:p w:rsidR="001E7A55" w:rsidRPr="004E5259" w:rsidRDefault="001E7A55" w:rsidP="001E7A55">
      <w:pPr>
        <w:pStyle w:val="Odstavekseznama"/>
        <w:numPr>
          <w:ilvl w:val="0"/>
          <w:numId w:val="12"/>
        </w:numPr>
        <w:autoSpaceDE w:val="0"/>
        <w:autoSpaceDN w:val="0"/>
        <w:adjustRightInd w:val="0"/>
        <w:spacing w:line="240" w:lineRule="auto"/>
        <w:ind w:hanging="416"/>
        <w:contextualSpacing/>
        <w:jc w:val="both"/>
        <w:rPr>
          <w:rFonts w:ascii="Calibri" w:hAnsi="Calibri" w:cs="Calibri"/>
          <w:sz w:val="22"/>
          <w:szCs w:val="22"/>
        </w:rPr>
      </w:pPr>
      <w:r w:rsidRPr="004E5259">
        <w:rPr>
          <w:rFonts w:ascii="Calibri" w:hAnsi="Calibri" w:cs="Calibri"/>
          <w:sz w:val="22"/>
          <w:szCs w:val="22"/>
        </w:rPr>
        <w:t>Discussions on the future of Europe – state of play and view from Slovenia (</w:t>
      </w:r>
      <w:r w:rsidRPr="004E5259">
        <w:rPr>
          <w:rFonts w:ascii="Calibri" w:hAnsi="Calibri" w:cs="Calibri"/>
          <w:color w:val="000000"/>
          <w:sz w:val="22"/>
          <w:szCs w:val="22"/>
          <w:lang w:eastAsia="sl-SI"/>
        </w:rPr>
        <w:t>possible connections between the EU debates in Slovenia and Norway)</w:t>
      </w:r>
      <w:r w:rsidRPr="004E5259">
        <w:rPr>
          <w:rFonts w:ascii="Calibri" w:hAnsi="Calibri" w:cs="Calibri"/>
          <w:sz w:val="22"/>
          <w:szCs w:val="22"/>
        </w:rPr>
        <w:t xml:space="preserve">. </w:t>
      </w:r>
    </w:p>
    <w:p w:rsidR="001E7A55" w:rsidRPr="004E5259" w:rsidRDefault="001E7A55" w:rsidP="001E7A55">
      <w:pPr>
        <w:pStyle w:val="Odstavekseznama"/>
        <w:numPr>
          <w:ilvl w:val="0"/>
          <w:numId w:val="12"/>
        </w:numPr>
        <w:autoSpaceDE w:val="0"/>
        <w:autoSpaceDN w:val="0"/>
        <w:adjustRightInd w:val="0"/>
        <w:spacing w:line="240" w:lineRule="auto"/>
        <w:ind w:hanging="416"/>
        <w:contextualSpacing/>
        <w:jc w:val="both"/>
        <w:rPr>
          <w:rFonts w:ascii="Calibri" w:hAnsi="Calibri" w:cs="Calibri"/>
          <w:sz w:val="22"/>
          <w:szCs w:val="22"/>
        </w:rPr>
      </w:pPr>
      <w:r w:rsidRPr="004E5259">
        <w:rPr>
          <w:rFonts w:ascii="Calibri" w:hAnsi="Calibri" w:cs="Calibri"/>
          <w:sz w:val="22"/>
          <w:szCs w:val="22"/>
        </w:rPr>
        <w:t>Future cooperation with and within the EU.</w:t>
      </w:r>
    </w:p>
    <w:p w:rsidR="001E7A55" w:rsidRPr="004E5259" w:rsidRDefault="001E7A55" w:rsidP="001E7A55">
      <w:pPr>
        <w:pStyle w:val="Odstavekseznama"/>
        <w:numPr>
          <w:ilvl w:val="0"/>
          <w:numId w:val="12"/>
        </w:numPr>
        <w:autoSpaceDE w:val="0"/>
        <w:autoSpaceDN w:val="0"/>
        <w:adjustRightInd w:val="0"/>
        <w:spacing w:line="240" w:lineRule="auto"/>
        <w:ind w:hanging="416"/>
        <w:contextualSpacing/>
        <w:jc w:val="both"/>
        <w:rPr>
          <w:rFonts w:ascii="Calibri" w:hAnsi="Calibri" w:cs="Calibri"/>
          <w:sz w:val="22"/>
          <w:szCs w:val="22"/>
        </w:rPr>
      </w:pPr>
      <w:r w:rsidRPr="004E5259">
        <w:rPr>
          <w:rFonts w:ascii="Calibri" w:hAnsi="Calibri" w:cs="Calibri"/>
          <w:color w:val="000000"/>
          <w:sz w:val="22"/>
          <w:szCs w:val="22"/>
          <w:lang w:eastAsia="sl-SI"/>
        </w:rPr>
        <w:t xml:space="preserve">Experience of Norway as an EEA country and </w:t>
      </w:r>
      <w:r w:rsidRPr="004E5259">
        <w:rPr>
          <w:rFonts w:ascii="Calibri" w:hAnsi="Calibri" w:cs="Calibri"/>
          <w:sz w:val="22"/>
          <w:szCs w:val="22"/>
        </w:rPr>
        <w:t>the effects of the changing EU on the EEA countries.</w:t>
      </w:r>
    </w:p>
    <w:p w:rsidR="001E7A55" w:rsidRPr="004E5259" w:rsidRDefault="001E7A55" w:rsidP="001E7A55">
      <w:pPr>
        <w:pStyle w:val="Odstavekseznama"/>
        <w:numPr>
          <w:ilvl w:val="0"/>
          <w:numId w:val="12"/>
        </w:numPr>
        <w:autoSpaceDE w:val="0"/>
        <w:autoSpaceDN w:val="0"/>
        <w:adjustRightInd w:val="0"/>
        <w:spacing w:line="240" w:lineRule="auto"/>
        <w:ind w:hanging="416"/>
        <w:contextualSpacing/>
        <w:jc w:val="both"/>
        <w:rPr>
          <w:rFonts w:ascii="Calibri" w:hAnsi="Calibri" w:cs="Calibri"/>
          <w:sz w:val="22"/>
          <w:szCs w:val="22"/>
        </w:rPr>
      </w:pPr>
      <w:r w:rsidRPr="004E5259">
        <w:rPr>
          <w:rFonts w:ascii="Calibri" w:hAnsi="Calibri" w:cs="Calibri"/>
          <w:sz w:val="22"/>
          <w:szCs w:val="22"/>
        </w:rPr>
        <w:t>View from a candidate country – Iceland (if possible).</w:t>
      </w:r>
    </w:p>
    <w:p w:rsidR="001E7A55" w:rsidRPr="004E5259" w:rsidRDefault="001E7A55" w:rsidP="001E7A55">
      <w:pPr>
        <w:pStyle w:val="Odstavekseznama"/>
        <w:numPr>
          <w:ilvl w:val="0"/>
          <w:numId w:val="12"/>
        </w:numPr>
        <w:autoSpaceDE w:val="0"/>
        <w:autoSpaceDN w:val="0"/>
        <w:adjustRightInd w:val="0"/>
        <w:spacing w:line="240" w:lineRule="auto"/>
        <w:ind w:hanging="416"/>
        <w:contextualSpacing/>
        <w:jc w:val="both"/>
        <w:rPr>
          <w:rFonts w:ascii="Calibri" w:hAnsi="Calibri" w:cs="Calibri"/>
          <w:sz w:val="22"/>
          <w:szCs w:val="22"/>
        </w:rPr>
      </w:pPr>
      <w:r w:rsidRPr="004E5259">
        <w:rPr>
          <w:rFonts w:ascii="Calibri" w:hAnsi="Calibri" w:cs="Calibri"/>
          <w:sz w:val="22"/>
          <w:szCs w:val="22"/>
        </w:rPr>
        <w:t>Exchange of experiences from public debates (how to include public opinion in political decision-making).</w:t>
      </w:r>
    </w:p>
    <w:p w:rsidR="001E7A55" w:rsidRPr="00164ABB" w:rsidRDefault="001E7A55" w:rsidP="001E7A55">
      <w:pPr>
        <w:autoSpaceDE w:val="0"/>
        <w:autoSpaceDN w:val="0"/>
        <w:adjustRightInd w:val="0"/>
        <w:spacing w:line="240" w:lineRule="auto"/>
        <w:jc w:val="both"/>
        <w:rPr>
          <w:rFonts w:ascii="Calibri" w:hAnsi="Calibri" w:cs="Calibri"/>
          <w:b/>
          <w:sz w:val="22"/>
          <w:szCs w:val="22"/>
        </w:rPr>
      </w:pPr>
    </w:p>
    <w:p w:rsidR="001E7A55" w:rsidRPr="000436B3" w:rsidRDefault="001E7A55" w:rsidP="001E7A55">
      <w:pPr>
        <w:autoSpaceDE w:val="0"/>
        <w:autoSpaceDN w:val="0"/>
        <w:adjustRightInd w:val="0"/>
        <w:spacing w:line="240" w:lineRule="auto"/>
        <w:jc w:val="both"/>
        <w:rPr>
          <w:rFonts w:ascii="Calibri" w:hAnsi="Calibri" w:cs="Calibri"/>
          <w:b/>
          <w:sz w:val="22"/>
          <w:szCs w:val="22"/>
        </w:rPr>
      </w:pPr>
      <w:r w:rsidRPr="000436B3">
        <w:rPr>
          <w:rFonts w:ascii="Calibri" w:hAnsi="Calibri" w:cs="Calibri"/>
          <w:b/>
          <w:sz w:val="22"/>
          <w:szCs w:val="22"/>
        </w:rPr>
        <w:t>Expected results:</w:t>
      </w:r>
    </w:p>
    <w:p w:rsidR="001E7A55" w:rsidRPr="000436B3" w:rsidRDefault="001E7A55" w:rsidP="001E7A55">
      <w:pPr>
        <w:numPr>
          <w:ilvl w:val="0"/>
          <w:numId w:val="11"/>
        </w:numPr>
        <w:spacing w:line="240" w:lineRule="auto"/>
        <w:jc w:val="both"/>
        <w:rPr>
          <w:rFonts w:ascii="Calibri" w:hAnsi="Calibri" w:cs="Calibri"/>
          <w:sz w:val="22"/>
          <w:szCs w:val="22"/>
        </w:rPr>
      </w:pPr>
      <w:r w:rsidRPr="000436B3">
        <w:rPr>
          <w:rFonts w:ascii="Calibri" w:hAnsi="Calibri" w:cs="Calibri"/>
          <w:sz w:val="22"/>
          <w:szCs w:val="22"/>
        </w:rPr>
        <w:t>Contacts between Slovenian</w:t>
      </w:r>
      <w:r>
        <w:rPr>
          <w:rFonts w:ascii="Calibri" w:hAnsi="Calibri" w:cs="Calibri"/>
          <w:sz w:val="22"/>
          <w:szCs w:val="22"/>
        </w:rPr>
        <w:t xml:space="preserve"> and EEA </w:t>
      </w:r>
      <w:r w:rsidRPr="000436B3">
        <w:rPr>
          <w:rFonts w:ascii="Calibri" w:hAnsi="Calibri" w:cs="Calibri"/>
          <w:sz w:val="22"/>
          <w:szCs w:val="22"/>
        </w:rPr>
        <w:t>countries</w:t>
      </w:r>
      <w:r>
        <w:rPr>
          <w:rFonts w:ascii="Calibri" w:hAnsi="Calibri" w:cs="Calibri"/>
          <w:sz w:val="22"/>
          <w:szCs w:val="22"/>
        </w:rPr>
        <w:t>' public administrations,</w:t>
      </w:r>
      <w:r w:rsidRPr="000436B3">
        <w:rPr>
          <w:rFonts w:ascii="Calibri" w:hAnsi="Calibri" w:cs="Calibri"/>
          <w:sz w:val="22"/>
          <w:szCs w:val="22"/>
        </w:rPr>
        <w:t xml:space="preserve"> research institutions, academics and think tanks in the field of proposed activity will be established. </w:t>
      </w:r>
    </w:p>
    <w:p w:rsidR="001E7A55" w:rsidRPr="000436B3" w:rsidRDefault="001E7A55" w:rsidP="001E7A55">
      <w:pPr>
        <w:numPr>
          <w:ilvl w:val="0"/>
          <w:numId w:val="11"/>
        </w:numPr>
        <w:spacing w:line="240" w:lineRule="auto"/>
        <w:jc w:val="both"/>
        <w:rPr>
          <w:rFonts w:ascii="Calibri" w:hAnsi="Calibri" w:cs="Calibri"/>
          <w:sz w:val="22"/>
          <w:szCs w:val="22"/>
        </w:rPr>
      </w:pPr>
      <w:r w:rsidRPr="000436B3">
        <w:rPr>
          <w:rFonts w:ascii="Calibri" w:hAnsi="Calibri" w:cs="Calibri"/>
          <w:sz w:val="22"/>
          <w:szCs w:val="22"/>
        </w:rPr>
        <w:t xml:space="preserve">Open lectures of </w:t>
      </w:r>
      <w:r>
        <w:rPr>
          <w:rFonts w:ascii="Calibri" w:hAnsi="Calibri" w:cs="Calibri"/>
          <w:sz w:val="22"/>
          <w:szCs w:val="22"/>
        </w:rPr>
        <w:t>EEA</w:t>
      </w:r>
      <w:r w:rsidRPr="000436B3">
        <w:rPr>
          <w:rFonts w:ascii="Calibri" w:hAnsi="Calibri" w:cs="Calibri"/>
          <w:sz w:val="22"/>
          <w:szCs w:val="22"/>
        </w:rPr>
        <w:t xml:space="preserve"> and Slovenian experts</w:t>
      </w:r>
      <w:r>
        <w:rPr>
          <w:rFonts w:ascii="Calibri" w:hAnsi="Calibri" w:cs="Calibri"/>
          <w:sz w:val="22"/>
          <w:szCs w:val="22"/>
        </w:rPr>
        <w:t>.</w:t>
      </w:r>
    </w:p>
    <w:p w:rsidR="001E7A55" w:rsidRPr="000436B3" w:rsidRDefault="001E7A55" w:rsidP="001E7A55">
      <w:pPr>
        <w:numPr>
          <w:ilvl w:val="0"/>
          <w:numId w:val="11"/>
        </w:numPr>
        <w:spacing w:line="240" w:lineRule="auto"/>
        <w:jc w:val="both"/>
        <w:rPr>
          <w:rFonts w:ascii="Calibri" w:hAnsi="Calibri" w:cs="Calibri"/>
          <w:sz w:val="22"/>
          <w:szCs w:val="22"/>
        </w:rPr>
      </w:pPr>
      <w:r w:rsidRPr="000436B3">
        <w:rPr>
          <w:rFonts w:ascii="Calibri" w:hAnsi="Calibri" w:cs="Calibri"/>
          <w:sz w:val="22"/>
          <w:szCs w:val="22"/>
        </w:rPr>
        <w:t>New perspectives and opportunities for discussions, mutual learning and future dialogue</w:t>
      </w:r>
      <w:r>
        <w:rPr>
          <w:rFonts w:ascii="Calibri" w:hAnsi="Calibri" w:cs="Calibri"/>
          <w:sz w:val="22"/>
          <w:szCs w:val="22"/>
        </w:rPr>
        <w:t>.</w:t>
      </w:r>
    </w:p>
    <w:p w:rsidR="001E7A55" w:rsidRPr="000436B3" w:rsidRDefault="001E7A55" w:rsidP="001E7A55">
      <w:pPr>
        <w:numPr>
          <w:ilvl w:val="0"/>
          <w:numId w:val="11"/>
        </w:numPr>
        <w:spacing w:line="240" w:lineRule="auto"/>
        <w:jc w:val="both"/>
        <w:rPr>
          <w:rFonts w:ascii="Calibri" w:hAnsi="Calibri" w:cs="Calibri"/>
          <w:sz w:val="22"/>
          <w:szCs w:val="22"/>
        </w:rPr>
      </w:pPr>
      <w:r w:rsidRPr="000436B3">
        <w:rPr>
          <w:rFonts w:ascii="Calibri" w:hAnsi="Calibri" w:cs="Calibri"/>
          <w:sz w:val="22"/>
          <w:szCs w:val="22"/>
        </w:rPr>
        <w:t>Exchange of ideas, experiences and solutions.</w:t>
      </w:r>
    </w:p>
    <w:p w:rsidR="001E7A55" w:rsidRDefault="001E7A55" w:rsidP="001E7A55">
      <w:pPr>
        <w:numPr>
          <w:ilvl w:val="0"/>
          <w:numId w:val="11"/>
        </w:numPr>
        <w:spacing w:line="240" w:lineRule="auto"/>
        <w:jc w:val="both"/>
        <w:rPr>
          <w:rFonts w:ascii="Calibri" w:hAnsi="Calibri" w:cs="Calibri"/>
          <w:sz w:val="22"/>
          <w:szCs w:val="22"/>
        </w:rPr>
      </w:pPr>
      <w:r w:rsidRPr="000436B3">
        <w:rPr>
          <w:rFonts w:ascii="Calibri" w:hAnsi="Calibri" w:cs="Calibri"/>
          <w:sz w:val="22"/>
          <w:szCs w:val="22"/>
        </w:rPr>
        <w:t>Increased awareness of the EEA and Norway Grants</w:t>
      </w:r>
      <w:r>
        <w:rPr>
          <w:rFonts w:ascii="Calibri" w:hAnsi="Calibri" w:cs="Calibri"/>
          <w:sz w:val="22"/>
          <w:szCs w:val="22"/>
        </w:rPr>
        <w:t>.</w:t>
      </w:r>
    </w:p>
    <w:p w:rsidR="001E7A55" w:rsidRPr="000436B3" w:rsidRDefault="001E7A55" w:rsidP="001E7A55">
      <w:pPr>
        <w:numPr>
          <w:ilvl w:val="0"/>
          <w:numId w:val="11"/>
        </w:numPr>
        <w:spacing w:line="240" w:lineRule="auto"/>
        <w:jc w:val="both"/>
        <w:rPr>
          <w:rFonts w:ascii="Calibri" w:hAnsi="Calibri" w:cs="Calibri"/>
          <w:sz w:val="22"/>
          <w:szCs w:val="22"/>
        </w:rPr>
      </w:pPr>
      <w:r>
        <w:rPr>
          <w:rFonts w:ascii="Calibri" w:hAnsi="Calibri" w:cs="Calibri"/>
          <w:sz w:val="22"/>
          <w:szCs w:val="22"/>
        </w:rPr>
        <w:t>A report on the performed activities.</w:t>
      </w:r>
    </w:p>
    <w:p w:rsidR="005C0670" w:rsidRDefault="005C0670" w:rsidP="004E5259">
      <w:pPr>
        <w:spacing w:line="240" w:lineRule="auto"/>
        <w:rPr>
          <w:rFonts w:ascii="Calibri" w:hAnsi="Calibri" w:cs="Calibri"/>
          <w:b/>
          <w:sz w:val="22"/>
          <w:szCs w:val="22"/>
        </w:rPr>
      </w:pPr>
    </w:p>
    <w:p w:rsidR="004E5259" w:rsidRPr="000436B3" w:rsidRDefault="004E5259" w:rsidP="004E5259">
      <w:pPr>
        <w:spacing w:line="240" w:lineRule="auto"/>
        <w:rPr>
          <w:rFonts w:ascii="Calibri" w:hAnsi="Calibri" w:cs="Calibri"/>
          <w:sz w:val="22"/>
          <w:szCs w:val="22"/>
        </w:rPr>
      </w:pPr>
      <w:r w:rsidRPr="000436B3">
        <w:rPr>
          <w:rFonts w:ascii="Calibri" w:hAnsi="Calibri" w:cs="Calibri"/>
          <w:b/>
          <w:sz w:val="22"/>
          <w:szCs w:val="22"/>
        </w:rPr>
        <w:t>Indicative budget</w:t>
      </w:r>
      <w:r w:rsidRPr="000436B3">
        <w:rPr>
          <w:rFonts w:ascii="Calibri" w:hAnsi="Calibri" w:cs="Calibri"/>
          <w:sz w:val="22"/>
          <w:szCs w:val="22"/>
        </w:rPr>
        <w:t xml:space="preserve">: </w:t>
      </w:r>
    </w:p>
    <w:p w:rsidR="004E5259" w:rsidRPr="000436B3" w:rsidRDefault="004E5259" w:rsidP="004E5259">
      <w:pPr>
        <w:pStyle w:val="Odstavekseznama"/>
        <w:numPr>
          <w:ilvl w:val="0"/>
          <w:numId w:val="41"/>
        </w:numPr>
        <w:spacing w:line="240" w:lineRule="auto"/>
        <w:contextualSpacing/>
        <w:jc w:val="both"/>
        <w:rPr>
          <w:rFonts w:ascii="Calibri" w:hAnsi="Calibri" w:cs="Calibri"/>
          <w:sz w:val="22"/>
          <w:szCs w:val="22"/>
        </w:rPr>
      </w:pPr>
      <w:r>
        <w:rPr>
          <w:rFonts w:ascii="Calibri" w:hAnsi="Calibri" w:cs="Calibri"/>
          <w:sz w:val="22"/>
          <w:szCs w:val="22"/>
          <w:u w:val="single"/>
        </w:rPr>
        <w:t>Study v</w:t>
      </w:r>
      <w:r w:rsidRPr="000436B3">
        <w:rPr>
          <w:rFonts w:ascii="Calibri" w:hAnsi="Calibri" w:cs="Calibri"/>
          <w:sz w:val="22"/>
          <w:szCs w:val="22"/>
          <w:u w:val="single"/>
        </w:rPr>
        <w:t>isit</w:t>
      </w:r>
      <w:r>
        <w:rPr>
          <w:rFonts w:ascii="Calibri" w:hAnsi="Calibri" w:cs="Calibri"/>
          <w:sz w:val="22"/>
          <w:szCs w:val="22"/>
        </w:rPr>
        <w:t>: 4</w:t>
      </w:r>
      <w:r w:rsidRPr="000436B3">
        <w:rPr>
          <w:rFonts w:ascii="Calibri" w:hAnsi="Calibri" w:cs="Calibri"/>
          <w:sz w:val="22"/>
          <w:szCs w:val="22"/>
        </w:rPr>
        <w:t>,000 EUR</w:t>
      </w:r>
    </w:p>
    <w:p w:rsidR="004E5259" w:rsidRPr="000436B3" w:rsidRDefault="004E5259" w:rsidP="004E5259">
      <w:pPr>
        <w:pStyle w:val="Odstavekseznama"/>
        <w:numPr>
          <w:ilvl w:val="0"/>
          <w:numId w:val="41"/>
        </w:numPr>
        <w:spacing w:line="240" w:lineRule="auto"/>
        <w:contextualSpacing/>
        <w:jc w:val="both"/>
        <w:rPr>
          <w:rFonts w:ascii="Calibri" w:hAnsi="Calibri" w:cs="Calibri"/>
          <w:sz w:val="22"/>
          <w:szCs w:val="22"/>
        </w:rPr>
      </w:pPr>
      <w:r>
        <w:rPr>
          <w:rFonts w:ascii="Calibri" w:hAnsi="Calibri" w:cs="Calibri"/>
          <w:sz w:val="22"/>
          <w:szCs w:val="22"/>
          <w:u w:val="single"/>
        </w:rPr>
        <w:t>C</w:t>
      </w:r>
      <w:r w:rsidRPr="000436B3">
        <w:rPr>
          <w:rFonts w:ascii="Calibri" w:hAnsi="Calibri" w:cs="Calibri"/>
          <w:sz w:val="22"/>
          <w:szCs w:val="22"/>
          <w:u w:val="single"/>
        </w:rPr>
        <w:t>onference</w:t>
      </w:r>
      <w:r>
        <w:rPr>
          <w:rFonts w:ascii="Calibri" w:hAnsi="Calibri" w:cs="Calibri"/>
          <w:sz w:val="22"/>
          <w:szCs w:val="22"/>
        </w:rPr>
        <w:t>: 29,5</w:t>
      </w:r>
      <w:r w:rsidRPr="000436B3">
        <w:rPr>
          <w:rFonts w:ascii="Calibri" w:hAnsi="Calibri" w:cs="Calibri"/>
          <w:sz w:val="22"/>
          <w:szCs w:val="22"/>
        </w:rPr>
        <w:t>00 EUR</w:t>
      </w:r>
    </w:p>
    <w:p w:rsidR="004E5259" w:rsidRPr="000436B3" w:rsidRDefault="004E5259" w:rsidP="004E5259">
      <w:pPr>
        <w:spacing w:line="240" w:lineRule="auto"/>
        <w:rPr>
          <w:rFonts w:ascii="Calibri" w:hAnsi="Calibri" w:cs="Calibri"/>
          <w:b/>
          <w:sz w:val="22"/>
          <w:szCs w:val="22"/>
        </w:rPr>
      </w:pPr>
      <w:r>
        <w:rPr>
          <w:rFonts w:ascii="Calibri" w:hAnsi="Calibri" w:cs="Calibri"/>
          <w:b/>
          <w:sz w:val="22"/>
          <w:szCs w:val="22"/>
        </w:rPr>
        <w:t>TOTAL: 33,5</w:t>
      </w:r>
      <w:r w:rsidRPr="000436B3">
        <w:rPr>
          <w:rFonts w:ascii="Calibri" w:hAnsi="Calibri" w:cs="Calibri"/>
          <w:b/>
          <w:sz w:val="22"/>
          <w:szCs w:val="22"/>
        </w:rPr>
        <w:t>00 EUR</w:t>
      </w:r>
    </w:p>
    <w:p w:rsidR="004E5259" w:rsidRDefault="004E5259" w:rsidP="004E5259">
      <w:pPr>
        <w:spacing w:line="240" w:lineRule="auto"/>
        <w:jc w:val="both"/>
        <w:rPr>
          <w:rFonts w:ascii="Calibri" w:hAnsi="Calibri" w:cs="Calibri"/>
          <w:sz w:val="22"/>
          <w:szCs w:val="22"/>
        </w:rPr>
      </w:pPr>
    </w:p>
    <w:p w:rsidR="000436B3" w:rsidRPr="000436B3" w:rsidRDefault="000436B3" w:rsidP="001E7A55">
      <w:pPr>
        <w:jc w:val="both"/>
        <w:rPr>
          <w:rFonts w:ascii="Calibri" w:hAnsi="Calibri" w:cs="Calibri"/>
          <w:b/>
          <w:bCs/>
          <w:sz w:val="28"/>
          <w:szCs w:val="28"/>
          <w:u w:val="single"/>
        </w:rPr>
      </w:pPr>
    </w:p>
    <w:p w:rsidR="000436B3" w:rsidRPr="000436B3" w:rsidRDefault="000436B3" w:rsidP="000436B3">
      <w:pPr>
        <w:pStyle w:val="Naslov3"/>
        <w:spacing w:before="0" w:after="240" w:line="240" w:lineRule="auto"/>
        <w:ind w:right="-1418"/>
        <w:jc w:val="left"/>
        <w:rPr>
          <w:rFonts w:ascii="Calibri" w:hAnsi="Calibri" w:cs="Calibri"/>
          <w:color w:val="auto"/>
          <w:sz w:val="28"/>
          <w:szCs w:val="28"/>
        </w:rPr>
      </w:pPr>
      <w:r>
        <w:rPr>
          <w:rFonts w:ascii="Calibri" w:hAnsi="Calibri" w:cs="Calibri"/>
          <w:color w:val="auto"/>
          <w:sz w:val="28"/>
          <w:szCs w:val="28"/>
        </w:rPr>
        <w:br w:type="page"/>
      </w:r>
    </w:p>
    <w:p w:rsidR="004A301D" w:rsidRPr="00A62834" w:rsidRDefault="008E4284" w:rsidP="00A62834">
      <w:pPr>
        <w:pStyle w:val="Naslov"/>
      </w:pPr>
      <w:r w:rsidRPr="00A62834">
        <w:lastRenderedPageBreak/>
        <w:t xml:space="preserve">Work Plan Annex </w:t>
      </w:r>
      <w:r w:rsidR="004A301D" w:rsidRPr="00A62834">
        <w:t>II</w:t>
      </w:r>
      <w:r w:rsidR="004E5259" w:rsidRPr="00A62834">
        <w:t xml:space="preserve"> - BUDGET</w:t>
      </w:r>
    </w:p>
    <w:p w:rsidR="000436B3" w:rsidRPr="00627F81" w:rsidRDefault="004A301D" w:rsidP="00A62834">
      <w:pPr>
        <w:pStyle w:val="Naslov2"/>
      </w:pPr>
      <w:r w:rsidRPr="00627F81">
        <w:t xml:space="preserve">Table 1: </w:t>
      </w:r>
      <w:r w:rsidR="00CD44E7" w:rsidRPr="00627F81">
        <w:t>Indicative</w:t>
      </w:r>
      <w:r w:rsidR="00CD44E7" w:rsidRPr="00627F81">
        <w:rPr>
          <w:rStyle w:val="Sprotnaopomba-sklic"/>
          <w:rFonts w:ascii="Calibri" w:hAnsi="Calibri" w:cs="Calibri"/>
          <w:b w:val="0"/>
          <w:bCs w:val="0"/>
          <w:szCs w:val="22"/>
        </w:rPr>
        <w:footnoteReference w:id="1"/>
      </w:r>
      <w:r w:rsidR="00CD44E7" w:rsidRPr="00627F81">
        <w:t xml:space="preserve"> b</w:t>
      </w:r>
      <w:r w:rsidR="000436B3" w:rsidRPr="00627F81">
        <w:t>udget</w:t>
      </w:r>
      <w:r w:rsidRPr="00627F81">
        <w:t xml:space="preserve"> by priorities</w:t>
      </w:r>
    </w:p>
    <w:tbl>
      <w:tblPr>
        <w:tblStyle w:val="Tabelamrea"/>
        <w:tblW w:w="8865" w:type="dxa"/>
        <w:tblLook w:val="04A0" w:firstRow="1" w:lastRow="0" w:firstColumn="1" w:lastColumn="0" w:noHBand="0" w:noVBand="1"/>
      </w:tblPr>
      <w:tblGrid>
        <w:gridCol w:w="948"/>
        <w:gridCol w:w="1082"/>
        <w:gridCol w:w="821"/>
        <w:gridCol w:w="942"/>
        <w:gridCol w:w="831"/>
        <w:gridCol w:w="831"/>
        <w:gridCol w:w="822"/>
        <w:gridCol w:w="822"/>
        <w:gridCol w:w="822"/>
        <w:gridCol w:w="944"/>
      </w:tblGrid>
      <w:tr w:rsidR="008E26F4" w:rsidRPr="008E26F4" w:rsidTr="004E5259">
        <w:trPr>
          <w:trHeight w:val="300"/>
        </w:trPr>
        <w:tc>
          <w:tcPr>
            <w:tcW w:w="948"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Priority</w:t>
            </w:r>
          </w:p>
        </w:tc>
        <w:tc>
          <w:tcPr>
            <w:tcW w:w="1082" w:type="dxa"/>
            <w:tcBorders>
              <w:bottom w:val="single" w:sz="4" w:space="0" w:color="auto"/>
            </w:tcBorders>
            <w:shd w:val="pct5" w:color="auto" w:fill="auto"/>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Allocated</w:t>
            </w:r>
          </w:p>
        </w:tc>
        <w:tc>
          <w:tcPr>
            <w:tcW w:w="821"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2011</w:t>
            </w:r>
          </w:p>
        </w:tc>
        <w:tc>
          <w:tcPr>
            <w:tcW w:w="942"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2012</w:t>
            </w:r>
          </w:p>
        </w:tc>
        <w:tc>
          <w:tcPr>
            <w:tcW w:w="831"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2013</w:t>
            </w:r>
          </w:p>
        </w:tc>
        <w:tc>
          <w:tcPr>
            <w:tcW w:w="831" w:type="dxa"/>
            <w:tcBorders>
              <w:bottom w:val="single" w:sz="4" w:space="0" w:color="auto"/>
            </w:tcBorders>
            <w:shd w:val="pct5" w:color="auto" w:fill="auto"/>
            <w:noWrap/>
            <w:hideMark/>
          </w:tcPr>
          <w:p w:rsidR="008E26F4" w:rsidRPr="009B5E47" w:rsidRDefault="008E26F4" w:rsidP="008E26F4">
            <w:pPr>
              <w:spacing w:line="240" w:lineRule="auto"/>
              <w:rPr>
                <w:rFonts w:asciiTheme="minorHAnsi" w:hAnsiTheme="minorHAnsi" w:cstheme="minorHAnsi"/>
                <w:b/>
                <w:color w:val="000000"/>
                <w:lang w:eastAsia="sl-SI"/>
              </w:rPr>
            </w:pPr>
            <w:r w:rsidRPr="009B5E47">
              <w:rPr>
                <w:rFonts w:asciiTheme="minorHAnsi" w:hAnsiTheme="minorHAnsi" w:cstheme="minorHAnsi"/>
                <w:b/>
                <w:color w:val="000000"/>
                <w:lang w:eastAsia="sl-SI"/>
              </w:rPr>
              <w:t>2014</w:t>
            </w:r>
          </w:p>
        </w:tc>
        <w:tc>
          <w:tcPr>
            <w:tcW w:w="822"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2015</w:t>
            </w:r>
          </w:p>
        </w:tc>
        <w:tc>
          <w:tcPr>
            <w:tcW w:w="822" w:type="dxa"/>
            <w:tcBorders>
              <w:bottom w:val="single" w:sz="4" w:space="0" w:color="auto"/>
            </w:tcBorders>
            <w:shd w:val="pct5" w:color="auto" w:fill="auto"/>
            <w:noWrap/>
            <w:hideMark/>
          </w:tcPr>
          <w:p w:rsidR="008E26F4" w:rsidRPr="009B5E47" w:rsidRDefault="008E26F4" w:rsidP="008E26F4">
            <w:pPr>
              <w:spacing w:line="240" w:lineRule="auto"/>
              <w:rPr>
                <w:rFonts w:asciiTheme="minorHAnsi" w:hAnsiTheme="minorHAnsi" w:cstheme="minorHAnsi"/>
                <w:b/>
                <w:color w:val="000000"/>
                <w:lang w:eastAsia="sl-SI"/>
              </w:rPr>
            </w:pPr>
            <w:r w:rsidRPr="009B5E47">
              <w:rPr>
                <w:rFonts w:asciiTheme="minorHAnsi" w:hAnsiTheme="minorHAnsi" w:cstheme="minorHAnsi"/>
                <w:b/>
                <w:color w:val="000000"/>
                <w:lang w:eastAsia="sl-SI"/>
              </w:rPr>
              <w:t>2016</w:t>
            </w:r>
          </w:p>
        </w:tc>
        <w:tc>
          <w:tcPr>
            <w:tcW w:w="822" w:type="dxa"/>
            <w:tcBorders>
              <w:bottom w:val="single" w:sz="4" w:space="0" w:color="auto"/>
            </w:tcBorders>
            <w:shd w:val="pct5" w:color="auto" w:fill="auto"/>
            <w:noWrap/>
            <w:hideMark/>
          </w:tcPr>
          <w:p w:rsidR="008E26F4" w:rsidRPr="009B5E47" w:rsidRDefault="008E26F4" w:rsidP="008E26F4">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2017</w:t>
            </w:r>
          </w:p>
        </w:tc>
        <w:tc>
          <w:tcPr>
            <w:tcW w:w="944" w:type="dxa"/>
            <w:tcBorders>
              <w:bottom w:val="single" w:sz="4" w:space="0" w:color="auto"/>
            </w:tcBorders>
            <w:shd w:val="pct5" w:color="auto" w:fill="auto"/>
            <w:noWrap/>
            <w:hideMark/>
          </w:tcPr>
          <w:p w:rsidR="008E26F4" w:rsidRPr="009B5E47" w:rsidRDefault="008E26F4" w:rsidP="008E26F4">
            <w:pPr>
              <w:spacing w:line="240" w:lineRule="auto"/>
              <w:rPr>
                <w:rFonts w:asciiTheme="minorHAnsi" w:hAnsiTheme="minorHAnsi" w:cstheme="minorHAnsi"/>
                <w:b/>
                <w:color w:val="000000"/>
                <w:lang w:eastAsia="sl-SI"/>
              </w:rPr>
            </w:pPr>
            <w:r w:rsidRPr="009B5E47">
              <w:rPr>
                <w:rFonts w:asciiTheme="minorHAnsi" w:hAnsiTheme="minorHAnsi" w:cstheme="minorHAnsi"/>
                <w:b/>
                <w:color w:val="000000"/>
                <w:lang w:eastAsia="sl-SI"/>
              </w:rPr>
              <w:t>TOTAL</w:t>
            </w:r>
          </w:p>
        </w:tc>
      </w:tr>
      <w:tr w:rsidR="00400946" w:rsidTr="004E5259">
        <w:tc>
          <w:tcPr>
            <w:tcW w:w="8865" w:type="dxa"/>
            <w:gridSpan w:val="10"/>
            <w:shd w:val="clear" w:color="auto" w:fill="EAF1DD" w:themeFill="accent3" w:themeFillTint="33"/>
          </w:tcPr>
          <w:p w:rsidR="00400946" w:rsidRPr="00400946" w:rsidRDefault="00400946" w:rsidP="00400946">
            <w:pPr>
              <w:pStyle w:val="Odstavekseznama"/>
              <w:numPr>
                <w:ilvl w:val="0"/>
                <w:numId w:val="29"/>
              </w:numPr>
              <w:rPr>
                <w:rFonts w:asciiTheme="minorHAnsi" w:hAnsiTheme="minorHAnsi" w:cstheme="minorHAnsi"/>
                <w:b/>
                <w:sz w:val="20"/>
                <w:szCs w:val="20"/>
              </w:rPr>
            </w:pPr>
            <w:r w:rsidRPr="00400946">
              <w:rPr>
                <w:rFonts w:asciiTheme="minorHAnsi" w:hAnsiTheme="minorHAnsi" w:cstheme="minorHAnsi"/>
                <w:b/>
                <w:sz w:val="20"/>
                <w:szCs w:val="20"/>
              </w:rPr>
              <w:t>Preparing bilateral aspects of the programmes in the preparation phase (2011 and 2012)</w:t>
            </w:r>
          </w:p>
        </w:tc>
      </w:tr>
      <w:tr w:rsidR="008E26F4" w:rsidTr="004E5259">
        <w:tc>
          <w:tcPr>
            <w:tcW w:w="948" w:type="dxa"/>
            <w:tcBorders>
              <w:bottom w:val="single" w:sz="4" w:space="0" w:color="auto"/>
            </w:tcBorders>
          </w:tcPr>
          <w:p w:rsidR="008E26F4" w:rsidRPr="008E26F4" w:rsidRDefault="008E26F4" w:rsidP="008E26F4">
            <w:pPr>
              <w:jc w:val="center"/>
              <w:rPr>
                <w:rFonts w:asciiTheme="minorHAnsi" w:hAnsiTheme="minorHAnsi" w:cstheme="minorHAnsi"/>
                <w:b/>
                <w:bCs/>
              </w:rPr>
            </w:pPr>
          </w:p>
        </w:tc>
        <w:tc>
          <w:tcPr>
            <w:tcW w:w="1082" w:type="dxa"/>
            <w:tcBorders>
              <w:bottom w:val="single" w:sz="4" w:space="0" w:color="auto"/>
            </w:tcBorders>
          </w:tcPr>
          <w:p w:rsidR="008E26F4" w:rsidRPr="008E26F4" w:rsidRDefault="004A301D" w:rsidP="008E26F4">
            <w:pPr>
              <w:jc w:val="center"/>
              <w:rPr>
                <w:rFonts w:asciiTheme="minorHAnsi" w:hAnsiTheme="minorHAnsi" w:cstheme="minorHAnsi"/>
                <w:b/>
              </w:rPr>
            </w:pPr>
            <w:r>
              <w:rPr>
                <w:rFonts w:asciiTheme="minorHAnsi" w:hAnsiTheme="minorHAnsi" w:cstheme="minorHAnsi"/>
                <w:b/>
              </w:rPr>
              <w:t>19.436</w:t>
            </w:r>
          </w:p>
        </w:tc>
        <w:tc>
          <w:tcPr>
            <w:tcW w:w="821"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2.514</w:t>
            </w:r>
          </w:p>
        </w:tc>
        <w:tc>
          <w:tcPr>
            <w:tcW w:w="942" w:type="dxa"/>
            <w:tcBorders>
              <w:bottom w:val="single" w:sz="4" w:space="0" w:color="auto"/>
            </w:tcBorders>
          </w:tcPr>
          <w:p w:rsidR="008E26F4" w:rsidRPr="008E26F4" w:rsidRDefault="004A301D" w:rsidP="008E26F4">
            <w:pPr>
              <w:jc w:val="center"/>
              <w:rPr>
                <w:rFonts w:asciiTheme="minorHAnsi" w:hAnsiTheme="minorHAnsi" w:cstheme="minorHAnsi"/>
              </w:rPr>
            </w:pPr>
            <w:r>
              <w:rPr>
                <w:rFonts w:asciiTheme="minorHAnsi" w:hAnsiTheme="minorHAnsi" w:cstheme="minorHAnsi"/>
              </w:rPr>
              <w:t>16.922</w:t>
            </w:r>
          </w:p>
        </w:tc>
        <w:tc>
          <w:tcPr>
            <w:tcW w:w="831"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0</w:t>
            </w:r>
          </w:p>
        </w:tc>
        <w:tc>
          <w:tcPr>
            <w:tcW w:w="831"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0</w:t>
            </w:r>
          </w:p>
        </w:tc>
        <w:tc>
          <w:tcPr>
            <w:tcW w:w="822"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0</w:t>
            </w:r>
          </w:p>
        </w:tc>
        <w:tc>
          <w:tcPr>
            <w:tcW w:w="822"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0</w:t>
            </w:r>
          </w:p>
        </w:tc>
        <w:tc>
          <w:tcPr>
            <w:tcW w:w="822" w:type="dxa"/>
            <w:tcBorders>
              <w:bottom w:val="single" w:sz="4" w:space="0" w:color="auto"/>
            </w:tcBorders>
          </w:tcPr>
          <w:p w:rsidR="008E26F4" w:rsidRPr="008E26F4" w:rsidRDefault="008E26F4" w:rsidP="008E26F4">
            <w:pPr>
              <w:jc w:val="center"/>
              <w:rPr>
                <w:rFonts w:asciiTheme="minorHAnsi" w:hAnsiTheme="minorHAnsi" w:cstheme="minorHAnsi"/>
              </w:rPr>
            </w:pPr>
            <w:r w:rsidRPr="008E26F4">
              <w:rPr>
                <w:rFonts w:asciiTheme="minorHAnsi" w:hAnsiTheme="minorHAnsi" w:cstheme="minorHAnsi"/>
              </w:rPr>
              <w:t>0</w:t>
            </w:r>
          </w:p>
        </w:tc>
        <w:tc>
          <w:tcPr>
            <w:tcW w:w="944" w:type="dxa"/>
            <w:tcBorders>
              <w:bottom w:val="single" w:sz="4" w:space="0" w:color="auto"/>
            </w:tcBorders>
          </w:tcPr>
          <w:p w:rsidR="008E26F4" w:rsidRPr="008E26F4" w:rsidRDefault="004A301D" w:rsidP="008E26F4">
            <w:pPr>
              <w:jc w:val="center"/>
              <w:rPr>
                <w:rFonts w:asciiTheme="minorHAnsi" w:hAnsiTheme="minorHAnsi" w:cstheme="minorHAnsi"/>
                <w:b/>
              </w:rPr>
            </w:pPr>
            <w:r>
              <w:rPr>
                <w:rFonts w:asciiTheme="minorHAnsi" w:hAnsiTheme="minorHAnsi" w:cstheme="minorHAnsi"/>
                <w:b/>
              </w:rPr>
              <w:t>19.436</w:t>
            </w:r>
          </w:p>
        </w:tc>
      </w:tr>
      <w:tr w:rsidR="00400946" w:rsidTr="004E5259">
        <w:tc>
          <w:tcPr>
            <w:tcW w:w="8865" w:type="dxa"/>
            <w:gridSpan w:val="10"/>
            <w:shd w:val="clear" w:color="auto" w:fill="EAF1DD" w:themeFill="accent3" w:themeFillTint="33"/>
          </w:tcPr>
          <w:p w:rsidR="00400946" w:rsidRPr="00400946" w:rsidRDefault="00400946" w:rsidP="00400946">
            <w:pPr>
              <w:pStyle w:val="Odstavekseznama"/>
              <w:numPr>
                <w:ilvl w:val="0"/>
                <w:numId w:val="29"/>
              </w:numPr>
              <w:rPr>
                <w:rFonts w:asciiTheme="minorHAnsi" w:hAnsiTheme="minorHAnsi" w:cstheme="minorHAnsi"/>
                <w:b/>
                <w:sz w:val="20"/>
                <w:szCs w:val="20"/>
              </w:rPr>
            </w:pPr>
            <w:r w:rsidRPr="00400946">
              <w:rPr>
                <w:rFonts w:asciiTheme="minorHAnsi" w:hAnsiTheme="minorHAnsi" w:cstheme="minorHAnsi"/>
                <w:b/>
                <w:sz w:val="20"/>
                <w:szCs w:val="20"/>
              </w:rPr>
              <w:t>Co-operation in the field of health</w:t>
            </w:r>
          </w:p>
        </w:tc>
      </w:tr>
      <w:tr w:rsidR="00400946" w:rsidTr="004E5259">
        <w:tc>
          <w:tcPr>
            <w:tcW w:w="948" w:type="dxa"/>
            <w:tcBorders>
              <w:bottom w:val="single" w:sz="4" w:space="0" w:color="auto"/>
            </w:tcBorders>
          </w:tcPr>
          <w:p w:rsidR="00400946" w:rsidRPr="00400946" w:rsidRDefault="00400946" w:rsidP="00400946">
            <w:pPr>
              <w:jc w:val="center"/>
              <w:rPr>
                <w:rFonts w:asciiTheme="minorHAnsi" w:hAnsiTheme="minorHAnsi" w:cstheme="minorHAnsi"/>
                <w:b/>
                <w:bCs/>
              </w:rPr>
            </w:pPr>
          </w:p>
        </w:tc>
        <w:tc>
          <w:tcPr>
            <w:tcW w:w="1082" w:type="dxa"/>
            <w:tcBorders>
              <w:bottom w:val="single" w:sz="4" w:space="0" w:color="auto"/>
            </w:tcBorders>
          </w:tcPr>
          <w:p w:rsidR="00400946" w:rsidRPr="00400946" w:rsidRDefault="00400946" w:rsidP="00400946">
            <w:pPr>
              <w:jc w:val="center"/>
              <w:rPr>
                <w:rFonts w:asciiTheme="minorHAnsi" w:hAnsiTheme="minorHAnsi" w:cstheme="minorHAnsi"/>
                <w:b/>
                <w:bCs/>
              </w:rPr>
            </w:pPr>
            <w:r>
              <w:rPr>
                <w:rFonts w:asciiTheme="minorHAnsi" w:hAnsiTheme="minorHAnsi" w:cstheme="minorHAnsi"/>
                <w:b/>
                <w:bCs/>
              </w:rPr>
              <w:t>30.000</w:t>
            </w:r>
          </w:p>
        </w:tc>
        <w:tc>
          <w:tcPr>
            <w:tcW w:w="82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94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3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12.000</w:t>
            </w:r>
          </w:p>
        </w:tc>
        <w:tc>
          <w:tcPr>
            <w:tcW w:w="83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18.000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944" w:type="dxa"/>
            <w:tcBorders>
              <w:bottom w:val="single" w:sz="4" w:space="0" w:color="auto"/>
            </w:tcBorders>
          </w:tcPr>
          <w:p w:rsidR="00400946" w:rsidRPr="00400946" w:rsidRDefault="00400946" w:rsidP="00400946">
            <w:pPr>
              <w:jc w:val="center"/>
              <w:rPr>
                <w:rFonts w:asciiTheme="minorHAnsi" w:hAnsiTheme="minorHAnsi" w:cstheme="minorHAnsi"/>
                <w:b/>
                <w:bCs/>
              </w:rPr>
            </w:pPr>
            <w:r w:rsidRPr="00400946">
              <w:rPr>
                <w:rFonts w:asciiTheme="minorHAnsi" w:hAnsiTheme="minorHAnsi" w:cstheme="minorHAnsi"/>
                <w:b/>
                <w:bCs/>
              </w:rPr>
              <w:t>30.000</w:t>
            </w:r>
          </w:p>
        </w:tc>
      </w:tr>
      <w:tr w:rsidR="00400946" w:rsidTr="004E5259">
        <w:tc>
          <w:tcPr>
            <w:tcW w:w="8865" w:type="dxa"/>
            <w:gridSpan w:val="10"/>
            <w:shd w:val="clear" w:color="auto" w:fill="EAF1DD" w:themeFill="accent3" w:themeFillTint="33"/>
          </w:tcPr>
          <w:p w:rsidR="00400946" w:rsidRPr="008E26F4" w:rsidRDefault="00400946" w:rsidP="00400946">
            <w:pPr>
              <w:pStyle w:val="Odstavekseznama"/>
              <w:numPr>
                <w:ilvl w:val="0"/>
                <w:numId w:val="29"/>
              </w:numPr>
              <w:rPr>
                <w:rFonts w:asciiTheme="minorHAnsi" w:hAnsiTheme="minorHAnsi" w:cstheme="minorHAnsi"/>
                <w:b/>
                <w:bCs/>
              </w:rPr>
            </w:pPr>
            <w:r w:rsidRPr="00400946">
              <w:rPr>
                <w:rFonts w:asciiTheme="minorHAnsi" w:hAnsiTheme="minorHAnsi" w:cstheme="minorHAnsi"/>
                <w:b/>
                <w:sz w:val="20"/>
                <w:szCs w:val="20"/>
              </w:rPr>
              <w:t>Co-operation in the field of gender equality</w:t>
            </w:r>
          </w:p>
        </w:tc>
      </w:tr>
      <w:tr w:rsidR="00400946" w:rsidTr="004E5259">
        <w:tc>
          <w:tcPr>
            <w:tcW w:w="948" w:type="dxa"/>
            <w:tcBorders>
              <w:bottom w:val="single" w:sz="4" w:space="0" w:color="auto"/>
            </w:tcBorders>
          </w:tcPr>
          <w:p w:rsidR="00400946" w:rsidRPr="008E26F4" w:rsidRDefault="00400946" w:rsidP="008E26F4">
            <w:pPr>
              <w:jc w:val="center"/>
              <w:rPr>
                <w:rFonts w:asciiTheme="minorHAnsi" w:hAnsiTheme="minorHAnsi" w:cstheme="minorHAnsi"/>
                <w:b/>
                <w:bCs/>
              </w:rPr>
            </w:pPr>
          </w:p>
        </w:tc>
        <w:tc>
          <w:tcPr>
            <w:tcW w:w="1082" w:type="dxa"/>
            <w:tcBorders>
              <w:bottom w:val="single" w:sz="4" w:space="0" w:color="auto"/>
            </w:tcBorders>
          </w:tcPr>
          <w:p w:rsidR="00400946" w:rsidRPr="00400946" w:rsidRDefault="00400946" w:rsidP="00400946">
            <w:pPr>
              <w:jc w:val="center"/>
              <w:rPr>
                <w:rFonts w:asciiTheme="minorHAnsi" w:hAnsiTheme="minorHAnsi" w:cstheme="minorHAnsi"/>
                <w:b/>
                <w:bCs/>
              </w:rPr>
            </w:pPr>
            <w:r w:rsidRPr="00400946">
              <w:rPr>
                <w:rFonts w:asciiTheme="minorHAnsi" w:hAnsiTheme="minorHAnsi" w:cstheme="minorHAnsi"/>
                <w:b/>
                <w:bCs/>
              </w:rPr>
              <w:t>33.500</w:t>
            </w:r>
          </w:p>
        </w:tc>
        <w:tc>
          <w:tcPr>
            <w:tcW w:w="82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94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3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10.000</w:t>
            </w:r>
          </w:p>
        </w:tc>
        <w:tc>
          <w:tcPr>
            <w:tcW w:w="831"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23.500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400946" w:rsidRPr="009B5E47" w:rsidRDefault="00400946" w:rsidP="00400946">
            <w:pPr>
              <w:jc w:val="center"/>
              <w:rPr>
                <w:rFonts w:asciiTheme="minorHAnsi" w:hAnsiTheme="minorHAnsi" w:cstheme="minorHAnsi"/>
                <w:bCs/>
              </w:rPr>
            </w:pPr>
            <w:r w:rsidRPr="009B5E47">
              <w:rPr>
                <w:rFonts w:asciiTheme="minorHAnsi" w:hAnsiTheme="minorHAnsi" w:cstheme="minorHAnsi"/>
                <w:bCs/>
              </w:rPr>
              <w:t>0</w:t>
            </w:r>
          </w:p>
        </w:tc>
        <w:tc>
          <w:tcPr>
            <w:tcW w:w="944" w:type="dxa"/>
            <w:tcBorders>
              <w:bottom w:val="single" w:sz="4" w:space="0" w:color="auto"/>
            </w:tcBorders>
          </w:tcPr>
          <w:p w:rsidR="00400946" w:rsidRPr="00400946" w:rsidRDefault="00400946" w:rsidP="00400946">
            <w:pPr>
              <w:jc w:val="center"/>
              <w:rPr>
                <w:rFonts w:asciiTheme="minorHAnsi" w:hAnsiTheme="minorHAnsi" w:cstheme="minorHAnsi"/>
                <w:b/>
                <w:bCs/>
              </w:rPr>
            </w:pPr>
            <w:r>
              <w:rPr>
                <w:rFonts w:asciiTheme="minorHAnsi" w:hAnsiTheme="minorHAnsi" w:cstheme="minorHAnsi"/>
                <w:b/>
                <w:bCs/>
              </w:rPr>
              <w:t>33</w:t>
            </w:r>
            <w:r w:rsidRPr="00400946">
              <w:rPr>
                <w:rFonts w:asciiTheme="minorHAnsi" w:hAnsiTheme="minorHAnsi" w:cstheme="minorHAnsi"/>
                <w:b/>
                <w:bCs/>
              </w:rPr>
              <w:t>.500</w:t>
            </w:r>
          </w:p>
        </w:tc>
      </w:tr>
      <w:tr w:rsidR="00400946" w:rsidTr="004E5259">
        <w:tc>
          <w:tcPr>
            <w:tcW w:w="8865" w:type="dxa"/>
            <w:gridSpan w:val="10"/>
            <w:shd w:val="clear" w:color="auto" w:fill="EAF1DD" w:themeFill="accent3" w:themeFillTint="33"/>
          </w:tcPr>
          <w:p w:rsidR="00400946" w:rsidRPr="008E26F4" w:rsidRDefault="00400946" w:rsidP="00400946">
            <w:pPr>
              <w:pStyle w:val="Odstavekseznama"/>
              <w:numPr>
                <w:ilvl w:val="0"/>
                <w:numId w:val="29"/>
              </w:numPr>
              <w:rPr>
                <w:rFonts w:asciiTheme="minorHAnsi" w:hAnsiTheme="minorHAnsi" w:cstheme="minorHAnsi"/>
                <w:b/>
                <w:bCs/>
              </w:rPr>
            </w:pPr>
            <w:r w:rsidRPr="00400946">
              <w:rPr>
                <w:rFonts w:asciiTheme="minorHAnsi" w:hAnsiTheme="minorHAnsi" w:cstheme="minorHAnsi"/>
                <w:b/>
                <w:sz w:val="20"/>
                <w:szCs w:val="20"/>
              </w:rPr>
              <w:t>Slovenian / EEA countries experiences in the past and future European integration</w:t>
            </w:r>
          </w:p>
        </w:tc>
      </w:tr>
      <w:tr w:rsidR="008E26F4" w:rsidTr="004E5259">
        <w:tc>
          <w:tcPr>
            <w:tcW w:w="948" w:type="dxa"/>
            <w:tcBorders>
              <w:bottom w:val="single" w:sz="4" w:space="0" w:color="auto"/>
            </w:tcBorders>
          </w:tcPr>
          <w:p w:rsidR="008E26F4" w:rsidRPr="008E26F4" w:rsidRDefault="008E26F4" w:rsidP="008E26F4">
            <w:pPr>
              <w:jc w:val="center"/>
              <w:rPr>
                <w:rFonts w:asciiTheme="minorHAnsi" w:hAnsiTheme="minorHAnsi" w:cstheme="minorHAnsi"/>
                <w:b/>
                <w:bCs/>
              </w:rPr>
            </w:pPr>
          </w:p>
        </w:tc>
        <w:tc>
          <w:tcPr>
            <w:tcW w:w="1082" w:type="dxa"/>
            <w:tcBorders>
              <w:bottom w:val="single" w:sz="4" w:space="0" w:color="auto"/>
            </w:tcBorders>
          </w:tcPr>
          <w:p w:rsidR="008E26F4" w:rsidRPr="008E26F4" w:rsidRDefault="00400946" w:rsidP="000436B3">
            <w:pPr>
              <w:rPr>
                <w:rFonts w:asciiTheme="minorHAnsi" w:hAnsiTheme="minorHAnsi" w:cstheme="minorHAnsi"/>
                <w:b/>
                <w:bCs/>
              </w:rPr>
            </w:pPr>
            <w:r>
              <w:rPr>
                <w:rFonts w:asciiTheme="minorHAnsi" w:hAnsiTheme="minorHAnsi" w:cstheme="minorHAnsi"/>
                <w:b/>
                <w:bCs/>
              </w:rPr>
              <w:t>33.500</w:t>
            </w:r>
          </w:p>
        </w:tc>
        <w:tc>
          <w:tcPr>
            <w:tcW w:w="821"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942"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831"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33.500</w:t>
            </w:r>
          </w:p>
        </w:tc>
        <w:tc>
          <w:tcPr>
            <w:tcW w:w="831"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822" w:type="dxa"/>
            <w:tcBorders>
              <w:bottom w:val="single" w:sz="4" w:space="0" w:color="auto"/>
            </w:tcBorders>
          </w:tcPr>
          <w:p w:rsidR="008E26F4" w:rsidRPr="009B5E47" w:rsidRDefault="00400946" w:rsidP="009B5E47">
            <w:pPr>
              <w:jc w:val="center"/>
              <w:rPr>
                <w:rFonts w:asciiTheme="minorHAnsi" w:hAnsiTheme="minorHAnsi" w:cstheme="minorHAnsi"/>
                <w:bCs/>
              </w:rPr>
            </w:pPr>
            <w:r w:rsidRPr="009B5E47">
              <w:rPr>
                <w:rFonts w:asciiTheme="minorHAnsi" w:hAnsiTheme="minorHAnsi" w:cstheme="minorHAnsi"/>
                <w:bCs/>
              </w:rPr>
              <w:t>0</w:t>
            </w:r>
          </w:p>
        </w:tc>
        <w:tc>
          <w:tcPr>
            <w:tcW w:w="944" w:type="dxa"/>
            <w:tcBorders>
              <w:bottom w:val="single" w:sz="4" w:space="0" w:color="auto"/>
            </w:tcBorders>
          </w:tcPr>
          <w:p w:rsidR="008E26F4" w:rsidRPr="008E26F4" w:rsidRDefault="00400946" w:rsidP="000436B3">
            <w:pPr>
              <w:rPr>
                <w:rFonts w:asciiTheme="minorHAnsi" w:hAnsiTheme="minorHAnsi" w:cstheme="minorHAnsi"/>
                <w:b/>
                <w:bCs/>
              </w:rPr>
            </w:pPr>
            <w:r>
              <w:rPr>
                <w:rFonts w:asciiTheme="minorHAnsi" w:hAnsiTheme="minorHAnsi" w:cstheme="minorHAnsi"/>
                <w:b/>
                <w:bCs/>
              </w:rPr>
              <w:t>33.500</w:t>
            </w:r>
          </w:p>
        </w:tc>
      </w:tr>
      <w:tr w:rsidR="00400946" w:rsidTr="004E5259">
        <w:tc>
          <w:tcPr>
            <w:tcW w:w="8865" w:type="dxa"/>
            <w:gridSpan w:val="10"/>
            <w:shd w:val="clear" w:color="auto" w:fill="EAF1DD" w:themeFill="accent3" w:themeFillTint="33"/>
          </w:tcPr>
          <w:p w:rsidR="00400946" w:rsidRPr="00400946" w:rsidRDefault="00400946" w:rsidP="000436B3">
            <w:pPr>
              <w:pStyle w:val="Odstavekseznama"/>
              <w:numPr>
                <w:ilvl w:val="0"/>
                <w:numId w:val="29"/>
              </w:numPr>
              <w:rPr>
                <w:rFonts w:asciiTheme="minorHAnsi" w:hAnsiTheme="minorHAnsi" w:cstheme="minorHAnsi"/>
                <w:b/>
                <w:sz w:val="20"/>
                <w:szCs w:val="20"/>
              </w:rPr>
            </w:pPr>
            <w:r w:rsidRPr="00400946">
              <w:rPr>
                <w:rFonts w:asciiTheme="minorHAnsi" w:hAnsiTheme="minorHAnsi" w:cstheme="minorHAnsi"/>
                <w:b/>
                <w:sz w:val="20"/>
                <w:szCs w:val="20"/>
              </w:rPr>
              <w:t xml:space="preserve">Other initiatives to be agreed with the donors </w:t>
            </w:r>
          </w:p>
        </w:tc>
      </w:tr>
      <w:tr w:rsidR="009B5E47" w:rsidTr="004E5259">
        <w:tc>
          <w:tcPr>
            <w:tcW w:w="948" w:type="dxa"/>
            <w:tcBorders>
              <w:bottom w:val="single" w:sz="4" w:space="0" w:color="auto"/>
            </w:tcBorders>
          </w:tcPr>
          <w:p w:rsidR="009B5E47" w:rsidRPr="008E26F4" w:rsidRDefault="009B5E47" w:rsidP="008E26F4">
            <w:pPr>
              <w:jc w:val="center"/>
              <w:rPr>
                <w:rFonts w:asciiTheme="minorHAnsi" w:hAnsiTheme="minorHAnsi" w:cstheme="minorHAnsi"/>
                <w:b/>
                <w:bCs/>
              </w:rPr>
            </w:pPr>
          </w:p>
        </w:tc>
        <w:tc>
          <w:tcPr>
            <w:tcW w:w="1082" w:type="dxa"/>
            <w:tcBorders>
              <w:bottom w:val="single" w:sz="4" w:space="0" w:color="auto"/>
            </w:tcBorders>
          </w:tcPr>
          <w:p w:rsidR="009B5E47" w:rsidRPr="009B5E47" w:rsidRDefault="009B5E47" w:rsidP="009B5E47">
            <w:pPr>
              <w:rPr>
                <w:rFonts w:asciiTheme="minorHAnsi" w:hAnsiTheme="minorHAnsi" w:cstheme="minorHAnsi"/>
                <w:b/>
                <w:bCs/>
              </w:rPr>
            </w:pPr>
            <w:r w:rsidRPr="009B5E47">
              <w:rPr>
                <w:rFonts w:asciiTheme="minorHAnsi" w:hAnsiTheme="minorHAnsi" w:cstheme="minorHAnsi"/>
                <w:b/>
                <w:bCs/>
              </w:rPr>
              <w:t>18.064</w:t>
            </w:r>
          </w:p>
        </w:tc>
        <w:tc>
          <w:tcPr>
            <w:tcW w:w="821"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0</w:t>
            </w:r>
          </w:p>
        </w:tc>
        <w:tc>
          <w:tcPr>
            <w:tcW w:w="942"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0</w:t>
            </w:r>
          </w:p>
        </w:tc>
        <w:tc>
          <w:tcPr>
            <w:tcW w:w="831"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3.600</w:t>
            </w:r>
          </w:p>
        </w:tc>
        <w:tc>
          <w:tcPr>
            <w:tcW w:w="831"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3.600</w:t>
            </w:r>
          </w:p>
        </w:tc>
        <w:tc>
          <w:tcPr>
            <w:tcW w:w="822"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3.600</w:t>
            </w:r>
          </w:p>
        </w:tc>
        <w:tc>
          <w:tcPr>
            <w:tcW w:w="822"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3.600</w:t>
            </w:r>
          </w:p>
        </w:tc>
        <w:tc>
          <w:tcPr>
            <w:tcW w:w="822" w:type="dxa"/>
            <w:tcBorders>
              <w:bottom w:val="single" w:sz="4" w:space="0" w:color="auto"/>
            </w:tcBorders>
          </w:tcPr>
          <w:p w:rsidR="009B5E47" w:rsidRPr="009B5E47" w:rsidRDefault="009B5E47" w:rsidP="009B5E47">
            <w:pPr>
              <w:jc w:val="center"/>
              <w:rPr>
                <w:rFonts w:asciiTheme="minorHAnsi" w:hAnsiTheme="minorHAnsi" w:cstheme="minorHAnsi"/>
                <w:bCs/>
              </w:rPr>
            </w:pPr>
            <w:r w:rsidRPr="009B5E47">
              <w:rPr>
                <w:rFonts w:asciiTheme="minorHAnsi" w:hAnsiTheme="minorHAnsi" w:cstheme="minorHAnsi"/>
                <w:bCs/>
              </w:rPr>
              <w:t>3.664</w:t>
            </w:r>
          </w:p>
        </w:tc>
        <w:tc>
          <w:tcPr>
            <w:tcW w:w="944" w:type="dxa"/>
            <w:tcBorders>
              <w:bottom w:val="single" w:sz="4" w:space="0" w:color="auto"/>
            </w:tcBorders>
          </w:tcPr>
          <w:p w:rsidR="009B5E47" w:rsidRPr="009B5E47" w:rsidRDefault="009B5E47" w:rsidP="009B5E47">
            <w:pPr>
              <w:rPr>
                <w:rFonts w:asciiTheme="minorHAnsi" w:hAnsiTheme="minorHAnsi" w:cstheme="minorHAnsi"/>
                <w:b/>
                <w:bCs/>
              </w:rPr>
            </w:pPr>
            <w:r w:rsidRPr="009B5E47">
              <w:rPr>
                <w:rFonts w:asciiTheme="minorHAnsi" w:hAnsiTheme="minorHAnsi" w:cstheme="minorHAnsi"/>
                <w:b/>
                <w:bCs/>
              </w:rPr>
              <w:t>18.064</w:t>
            </w:r>
          </w:p>
        </w:tc>
      </w:tr>
      <w:tr w:rsidR="009B5E47" w:rsidTr="004E5259">
        <w:tc>
          <w:tcPr>
            <w:tcW w:w="948" w:type="dxa"/>
            <w:shd w:val="pct5" w:color="auto" w:fill="auto"/>
          </w:tcPr>
          <w:p w:rsidR="009B5E47" w:rsidRPr="009B5E47" w:rsidRDefault="009B5E47" w:rsidP="009B5E47">
            <w:pPr>
              <w:spacing w:line="240" w:lineRule="auto"/>
              <w:jc w:val="center"/>
              <w:rPr>
                <w:rFonts w:asciiTheme="minorHAnsi" w:hAnsiTheme="minorHAnsi" w:cstheme="minorHAnsi"/>
                <w:b/>
                <w:bCs/>
                <w:color w:val="000000"/>
                <w:lang w:eastAsia="sl-SI"/>
              </w:rPr>
            </w:pPr>
            <w:r w:rsidRPr="009B5E47">
              <w:rPr>
                <w:rFonts w:asciiTheme="minorHAnsi" w:hAnsiTheme="minorHAnsi" w:cstheme="minorHAnsi"/>
                <w:b/>
                <w:bCs/>
                <w:color w:val="000000"/>
                <w:lang w:eastAsia="sl-SI"/>
              </w:rPr>
              <w:t>TOTAL</w:t>
            </w:r>
          </w:p>
        </w:tc>
        <w:tc>
          <w:tcPr>
            <w:tcW w:w="1082"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134.500</w:t>
            </w:r>
          </w:p>
        </w:tc>
        <w:tc>
          <w:tcPr>
            <w:tcW w:w="821"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2.514</w:t>
            </w:r>
          </w:p>
        </w:tc>
        <w:tc>
          <w:tcPr>
            <w:tcW w:w="942" w:type="dxa"/>
            <w:shd w:val="pct5" w:color="auto" w:fill="auto"/>
          </w:tcPr>
          <w:p w:rsidR="009B5E47" w:rsidRPr="009B5E47" w:rsidRDefault="004A301D" w:rsidP="009B5E47">
            <w:pPr>
              <w:jc w:val="center"/>
              <w:rPr>
                <w:rFonts w:asciiTheme="minorHAnsi" w:hAnsiTheme="minorHAnsi" w:cstheme="minorHAnsi"/>
                <w:b/>
                <w:bCs/>
              </w:rPr>
            </w:pPr>
            <w:r>
              <w:rPr>
                <w:rFonts w:asciiTheme="minorHAnsi" w:hAnsiTheme="minorHAnsi" w:cstheme="minorHAnsi"/>
                <w:b/>
                <w:bCs/>
              </w:rPr>
              <w:t>16.922</w:t>
            </w:r>
          </w:p>
        </w:tc>
        <w:tc>
          <w:tcPr>
            <w:tcW w:w="831" w:type="dxa"/>
            <w:shd w:val="pct5" w:color="auto" w:fill="auto"/>
          </w:tcPr>
          <w:p w:rsidR="009B5E47" w:rsidRPr="009B5E47" w:rsidRDefault="004A301D" w:rsidP="009B5E47">
            <w:pPr>
              <w:jc w:val="center"/>
              <w:rPr>
                <w:rFonts w:asciiTheme="minorHAnsi" w:hAnsiTheme="minorHAnsi" w:cstheme="minorHAnsi"/>
                <w:b/>
                <w:bCs/>
              </w:rPr>
            </w:pPr>
            <w:r>
              <w:rPr>
                <w:rFonts w:asciiTheme="minorHAnsi" w:hAnsiTheme="minorHAnsi" w:cstheme="minorHAnsi"/>
                <w:b/>
                <w:bCs/>
              </w:rPr>
              <w:t>59,100</w:t>
            </w:r>
          </w:p>
        </w:tc>
        <w:tc>
          <w:tcPr>
            <w:tcW w:w="831" w:type="dxa"/>
            <w:shd w:val="pct5" w:color="auto" w:fill="auto"/>
          </w:tcPr>
          <w:p w:rsidR="009B5E47" w:rsidRPr="009B5E47" w:rsidRDefault="004A301D" w:rsidP="009B5E47">
            <w:pPr>
              <w:jc w:val="center"/>
              <w:rPr>
                <w:rFonts w:asciiTheme="minorHAnsi" w:hAnsiTheme="minorHAnsi" w:cstheme="minorHAnsi"/>
                <w:b/>
                <w:bCs/>
              </w:rPr>
            </w:pPr>
            <w:r>
              <w:rPr>
                <w:rFonts w:asciiTheme="minorHAnsi" w:hAnsiTheme="minorHAnsi" w:cstheme="minorHAnsi"/>
                <w:b/>
                <w:bCs/>
              </w:rPr>
              <w:t>45,100</w:t>
            </w:r>
          </w:p>
        </w:tc>
        <w:tc>
          <w:tcPr>
            <w:tcW w:w="822"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3.600</w:t>
            </w:r>
          </w:p>
        </w:tc>
        <w:tc>
          <w:tcPr>
            <w:tcW w:w="822"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3.600</w:t>
            </w:r>
          </w:p>
        </w:tc>
        <w:tc>
          <w:tcPr>
            <w:tcW w:w="822"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3.664</w:t>
            </w:r>
          </w:p>
        </w:tc>
        <w:tc>
          <w:tcPr>
            <w:tcW w:w="944" w:type="dxa"/>
            <w:shd w:val="pct5" w:color="auto" w:fill="auto"/>
          </w:tcPr>
          <w:p w:rsidR="009B5E47" w:rsidRPr="009B5E47" w:rsidRDefault="009B5E47" w:rsidP="009B5E47">
            <w:pPr>
              <w:jc w:val="center"/>
              <w:rPr>
                <w:rFonts w:asciiTheme="minorHAnsi" w:hAnsiTheme="minorHAnsi" w:cstheme="minorHAnsi"/>
                <w:b/>
                <w:bCs/>
              </w:rPr>
            </w:pPr>
            <w:r w:rsidRPr="009B5E47">
              <w:rPr>
                <w:rFonts w:asciiTheme="minorHAnsi" w:hAnsiTheme="minorHAnsi" w:cstheme="minorHAnsi"/>
                <w:b/>
                <w:bCs/>
              </w:rPr>
              <w:t>134.500</w:t>
            </w:r>
          </w:p>
        </w:tc>
      </w:tr>
    </w:tbl>
    <w:p w:rsidR="004A301D" w:rsidRDefault="004A301D" w:rsidP="000436B3">
      <w:pPr>
        <w:rPr>
          <w:rFonts w:ascii="Calibri" w:hAnsi="Calibri" w:cs="Calibri"/>
          <w:b/>
          <w:bCs/>
          <w:sz w:val="28"/>
          <w:szCs w:val="28"/>
        </w:rPr>
      </w:pPr>
    </w:p>
    <w:p w:rsidR="008E26F4" w:rsidRPr="00627F81" w:rsidRDefault="004A301D" w:rsidP="00A62834">
      <w:pPr>
        <w:pStyle w:val="Naslov2"/>
      </w:pPr>
      <w:r w:rsidRPr="00627F81">
        <w:t>Table 2:</w:t>
      </w:r>
      <w:r w:rsidR="00CD44E7" w:rsidRPr="00627F81">
        <w:t xml:space="preserve"> Indicative</w:t>
      </w:r>
      <w:r w:rsidR="00CF0924" w:rsidRPr="00627F81">
        <w:rPr>
          <w:rStyle w:val="Sprotnaopomba-sklic"/>
          <w:rFonts w:ascii="Calibri" w:hAnsi="Calibri" w:cs="Calibri"/>
          <w:b w:val="0"/>
          <w:bCs w:val="0"/>
          <w:szCs w:val="22"/>
        </w:rPr>
        <w:footnoteReference w:id="2"/>
      </w:r>
      <w:r w:rsidR="00CD44E7" w:rsidRPr="00627F81">
        <w:t xml:space="preserve"> b</w:t>
      </w:r>
      <w:r w:rsidRPr="00627F81">
        <w:t>udget by activities</w:t>
      </w:r>
    </w:p>
    <w:tbl>
      <w:tblPr>
        <w:tblStyle w:val="Tabelamrea"/>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6237"/>
        <w:gridCol w:w="1417"/>
      </w:tblGrid>
      <w:tr w:rsidR="000436B3" w:rsidRPr="00F0028C" w:rsidTr="00627F81">
        <w:tc>
          <w:tcPr>
            <w:tcW w:w="7338" w:type="dxa"/>
            <w:gridSpan w:val="2"/>
            <w:tcBorders>
              <w:top w:val="single" w:sz="12" w:space="0" w:color="auto"/>
              <w:bottom w:val="single" w:sz="12" w:space="0" w:color="auto"/>
              <w:right w:val="single" w:sz="12" w:space="0" w:color="auto"/>
            </w:tcBorders>
            <w:shd w:val="pct5" w:color="auto" w:fill="auto"/>
          </w:tcPr>
          <w:p w:rsidR="000436B3" w:rsidRPr="000436B3" w:rsidRDefault="000436B3" w:rsidP="008E26F4">
            <w:pPr>
              <w:rPr>
                <w:rFonts w:ascii="Calibri" w:hAnsi="Calibri" w:cs="Calibri"/>
                <w:b/>
                <w:bCs/>
                <w:sz w:val="24"/>
              </w:rPr>
            </w:pPr>
            <w:r w:rsidRPr="000436B3">
              <w:rPr>
                <w:rFonts w:ascii="Calibri" w:hAnsi="Calibri" w:cs="Calibri"/>
                <w:b/>
                <w:bCs/>
                <w:sz w:val="28"/>
                <w:szCs w:val="28"/>
              </w:rPr>
              <w:t xml:space="preserve"> </w:t>
            </w:r>
            <w:r w:rsidRPr="000436B3">
              <w:rPr>
                <w:rFonts w:ascii="Calibri" w:hAnsi="Calibri" w:cs="Calibri"/>
                <w:b/>
                <w:bCs/>
                <w:sz w:val="24"/>
              </w:rPr>
              <w:t>Total amount available, EEA and NO grants, EUR</w:t>
            </w:r>
          </w:p>
        </w:tc>
        <w:tc>
          <w:tcPr>
            <w:tcW w:w="1417" w:type="dxa"/>
            <w:tcBorders>
              <w:top w:val="single" w:sz="12" w:space="0" w:color="auto"/>
              <w:left w:val="single" w:sz="12" w:space="0" w:color="auto"/>
              <w:bottom w:val="single" w:sz="12" w:space="0" w:color="auto"/>
            </w:tcBorders>
            <w:shd w:val="pct5" w:color="auto" w:fill="auto"/>
          </w:tcPr>
          <w:p w:rsidR="000436B3" w:rsidRPr="000436B3" w:rsidRDefault="000436B3" w:rsidP="008E26F4">
            <w:pPr>
              <w:jc w:val="right"/>
              <w:rPr>
                <w:rFonts w:ascii="Calibri" w:hAnsi="Calibri" w:cs="Calibri"/>
                <w:b/>
                <w:bCs/>
                <w:sz w:val="24"/>
              </w:rPr>
            </w:pPr>
          </w:p>
        </w:tc>
      </w:tr>
      <w:tr w:rsidR="000436B3" w:rsidRPr="00F0028C" w:rsidTr="00627F81">
        <w:tc>
          <w:tcPr>
            <w:tcW w:w="1101" w:type="dxa"/>
            <w:tcBorders>
              <w:top w:val="single" w:sz="12" w:space="0" w:color="auto"/>
              <w:bottom w:val="double" w:sz="4" w:space="0" w:color="auto"/>
              <w:right w:val="single" w:sz="12" w:space="0" w:color="auto"/>
            </w:tcBorders>
          </w:tcPr>
          <w:p w:rsidR="000436B3" w:rsidRPr="000436B3" w:rsidRDefault="000436B3" w:rsidP="008E26F4">
            <w:pPr>
              <w:rPr>
                <w:rFonts w:ascii="Calibri" w:hAnsi="Calibri" w:cs="Calibri"/>
                <w:sz w:val="24"/>
              </w:rPr>
            </w:pPr>
            <w:r w:rsidRPr="000436B3">
              <w:rPr>
                <w:rFonts w:ascii="Calibri" w:hAnsi="Calibri" w:cs="Calibri"/>
                <w:sz w:val="24"/>
              </w:rPr>
              <w:t>2011</w:t>
            </w:r>
          </w:p>
        </w:tc>
        <w:tc>
          <w:tcPr>
            <w:tcW w:w="6237" w:type="dxa"/>
            <w:tcBorders>
              <w:top w:val="single" w:sz="12" w:space="0" w:color="auto"/>
              <w:bottom w:val="double" w:sz="4" w:space="0" w:color="auto"/>
              <w:right w:val="single" w:sz="12" w:space="0" w:color="auto"/>
            </w:tcBorders>
          </w:tcPr>
          <w:p w:rsidR="000436B3" w:rsidRPr="000436B3" w:rsidRDefault="008B567D" w:rsidP="008E26F4">
            <w:pPr>
              <w:rPr>
                <w:rFonts w:ascii="Calibri" w:hAnsi="Calibri" w:cs="Calibri"/>
                <w:sz w:val="24"/>
              </w:rPr>
            </w:pPr>
            <w:r w:rsidRPr="008B567D">
              <w:rPr>
                <w:rFonts w:ascii="Calibri" w:hAnsi="Calibri" w:cs="Calibri"/>
                <w:sz w:val="24"/>
              </w:rPr>
              <w:t>Preparing bilateral aspects of the programmes in the preparation phase</w:t>
            </w:r>
          </w:p>
        </w:tc>
        <w:tc>
          <w:tcPr>
            <w:tcW w:w="1417" w:type="dxa"/>
            <w:tcBorders>
              <w:top w:val="single" w:sz="12" w:space="0" w:color="auto"/>
              <w:left w:val="single" w:sz="12" w:space="0" w:color="auto"/>
              <w:bottom w:val="double" w:sz="4" w:space="0" w:color="auto"/>
            </w:tcBorders>
          </w:tcPr>
          <w:p w:rsidR="000436B3" w:rsidRPr="000436B3" w:rsidRDefault="009B5E47" w:rsidP="009B5E47">
            <w:pPr>
              <w:jc w:val="right"/>
              <w:rPr>
                <w:rFonts w:ascii="Calibri" w:hAnsi="Calibri" w:cs="Calibri"/>
                <w:bCs/>
                <w:sz w:val="24"/>
              </w:rPr>
            </w:pPr>
            <w:r>
              <w:rPr>
                <w:rFonts w:ascii="Calibri" w:hAnsi="Calibri" w:cs="Calibri"/>
                <w:bCs/>
                <w:sz w:val="24"/>
              </w:rPr>
              <w:t>2,514</w:t>
            </w:r>
            <w:r w:rsidR="000436B3" w:rsidRPr="000436B3">
              <w:rPr>
                <w:rFonts w:ascii="Calibri" w:hAnsi="Calibri" w:cs="Calibri"/>
                <w:bCs/>
                <w:sz w:val="24"/>
              </w:rPr>
              <w:t xml:space="preserve"> €</w:t>
            </w:r>
          </w:p>
        </w:tc>
      </w:tr>
      <w:tr w:rsidR="000436B3" w:rsidRPr="00F0028C" w:rsidTr="00627F81">
        <w:tc>
          <w:tcPr>
            <w:tcW w:w="1101" w:type="dxa"/>
            <w:vMerge w:val="restart"/>
            <w:tcBorders>
              <w:top w:val="double" w:sz="4" w:space="0" w:color="auto"/>
              <w:right w:val="single" w:sz="12" w:space="0" w:color="auto"/>
            </w:tcBorders>
          </w:tcPr>
          <w:p w:rsidR="000436B3" w:rsidRPr="000436B3" w:rsidRDefault="000436B3" w:rsidP="008E26F4">
            <w:pPr>
              <w:rPr>
                <w:rFonts w:ascii="Calibri" w:hAnsi="Calibri" w:cs="Calibri"/>
                <w:sz w:val="24"/>
              </w:rPr>
            </w:pPr>
            <w:r w:rsidRPr="000436B3">
              <w:rPr>
                <w:rFonts w:ascii="Calibri" w:hAnsi="Calibri" w:cs="Calibri"/>
                <w:sz w:val="24"/>
              </w:rPr>
              <w:t>2012</w:t>
            </w:r>
          </w:p>
        </w:tc>
        <w:tc>
          <w:tcPr>
            <w:tcW w:w="6237" w:type="dxa"/>
            <w:tcBorders>
              <w:top w:val="double" w:sz="4" w:space="0" w:color="auto"/>
              <w:bottom w:val="double" w:sz="4" w:space="0" w:color="auto"/>
              <w:right w:val="single" w:sz="12" w:space="0" w:color="auto"/>
            </w:tcBorders>
          </w:tcPr>
          <w:p w:rsidR="000436B3" w:rsidRPr="000436B3" w:rsidRDefault="008B567D" w:rsidP="008E26F4">
            <w:pPr>
              <w:rPr>
                <w:rFonts w:ascii="Calibri" w:hAnsi="Calibri" w:cs="Calibri"/>
                <w:sz w:val="24"/>
              </w:rPr>
            </w:pPr>
            <w:r w:rsidRPr="008B567D">
              <w:rPr>
                <w:rFonts w:ascii="Calibri" w:hAnsi="Calibri" w:cs="Calibri"/>
                <w:sz w:val="24"/>
              </w:rPr>
              <w:t>Preparing bilateral aspects of the programmes in the preparation phase</w:t>
            </w:r>
          </w:p>
        </w:tc>
        <w:tc>
          <w:tcPr>
            <w:tcW w:w="1417" w:type="dxa"/>
            <w:tcBorders>
              <w:top w:val="double" w:sz="4" w:space="0" w:color="auto"/>
              <w:left w:val="single" w:sz="12" w:space="0" w:color="auto"/>
              <w:bottom w:val="double" w:sz="4" w:space="0" w:color="auto"/>
            </w:tcBorders>
          </w:tcPr>
          <w:p w:rsidR="000436B3" w:rsidRPr="000436B3" w:rsidRDefault="004A301D" w:rsidP="009B5E47">
            <w:pPr>
              <w:jc w:val="right"/>
              <w:rPr>
                <w:rFonts w:ascii="Calibri" w:hAnsi="Calibri" w:cs="Calibri"/>
                <w:sz w:val="24"/>
              </w:rPr>
            </w:pPr>
            <w:r>
              <w:rPr>
                <w:rFonts w:ascii="Calibri" w:hAnsi="Calibri" w:cs="Calibri"/>
                <w:bCs/>
                <w:sz w:val="24"/>
              </w:rPr>
              <w:t>16,922</w:t>
            </w:r>
            <w:r w:rsidR="000436B3" w:rsidRPr="000436B3">
              <w:rPr>
                <w:rFonts w:ascii="Calibri" w:hAnsi="Calibri" w:cs="Calibri"/>
                <w:bCs/>
                <w:sz w:val="24"/>
              </w:rPr>
              <w:t xml:space="preserve"> €</w:t>
            </w:r>
          </w:p>
        </w:tc>
      </w:tr>
      <w:tr w:rsidR="000436B3" w:rsidRPr="00F0028C" w:rsidTr="00627F81">
        <w:tc>
          <w:tcPr>
            <w:tcW w:w="1101" w:type="dxa"/>
            <w:vMerge/>
            <w:tcBorders>
              <w:bottom w:val="double" w:sz="4" w:space="0" w:color="auto"/>
              <w:right w:val="single" w:sz="12" w:space="0" w:color="auto"/>
            </w:tcBorders>
          </w:tcPr>
          <w:p w:rsidR="000436B3" w:rsidRPr="000436B3" w:rsidRDefault="000436B3" w:rsidP="008E26F4">
            <w:pPr>
              <w:rPr>
                <w:rFonts w:ascii="Calibri" w:hAnsi="Calibri" w:cs="Calibri"/>
                <w:sz w:val="24"/>
              </w:rPr>
            </w:pPr>
          </w:p>
        </w:tc>
        <w:tc>
          <w:tcPr>
            <w:tcW w:w="6237" w:type="dxa"/>
            <w:tcBorders>
              <w:top w:val="double" w:sz="4" w:space="0" w:color="auto"/>
              <w:bottom w:val="double" w:sz="4" w:space="0" w:color="auto"/>
              <w:right w:val="single" w:sz="12" w:space="0" w:color="auto"/>
            </w:tcBorders>
            <w:shd w:val="clear" w:color="auto" w:fill="EAF1DD" w:themeFill="accent3" w:themeFillTint="33"/>
          </w:tcPr>
          <w:p w:rsidR="000436B3" w:rsidRPr="000436B3" w:rsidRDefault="000436B3" w:rsidP="008E26F4">
            <w:pPr>
              <w:jc w:val="right"/>
              <w:rPr>
                <w:rFonts w:ascii="Calibri" w:hAnsi="Calibri" w:cs="Calibri"/>
                <w:b/>
                <w:sz w:val="24"/>
              </w:rPr>
            </w:pPr>
            <w:r w:rsidRPr="000436B3">
              <w:rPr>
                <w:rFonts w:ascii="Calibri" w:hAnsi="Calibri" w:cs="Calibri"/>
                <w:b/>
                <w:sz w:val="24"/>
              </w:rPr>
              <w:t>TOTAL</w:t>
            </w:r>
            <w:r w:rsidR="004A301D">
              <w:rPr>
                <w:rFonts w:ascii="Calibri" w:hAnsi="Calibri" w:cs="Calibri"/>
                <w:b/>
                <w:sz w:val="24"/>
              </w:rPr>
              <w:t xml:space="preserve"> 2011 &amp; 2012</w:t>
            </w:r>
          </w:p>
        </w:tc>
        <w:tc>
          <w:tcPr>
            <w:tcW w:w="1417" w:type="dxa"/>
            <w:tcBorders>
              <w:top w:val="double" w:sz="4" w:space="0" w:color="auto"/>
              <w:left w:val="single" w:sz="12" w:space="0" w:color="auto"/>
              <w:bottom w:val="double" w:sz="4" w:space="0" w:color="auto"/>
            </w:tcBorders>
            <w:shd w:val="clear" w:color="auto" w:fill="EAF1DD" w:themeFill="accent3" w:themeFillTint="33"/>
          </w:tcPr>
          <w:p w:rsidR="000436B3" w:rsidRPr="000436B3" w:rsidRDefault="009B5E47" w:rsidP="009B5E47">
            <w:pPr>
              <w:jc w:val="right"/>
              <w:rPr>
                <w:rFonts w:ascii="Calibri" w:hAnsi="Calibri" w:cs="Calibri"/>
                <w:b/>
                <w:bCs/>
                <w:sz w:val="24"/>
              </w:rPr>
            </w:pPr>
            <w:r>
              <w:rPr>
                <w:rFonts w:ascii="Calibri" w:hAnsi="Calibri" w:cs="Calibri"/>
                <w:b/>
                <w:bCs/>
                <w:sz w:val="24"/>
              </w:rPr>
              <w:t xml:space="preserve">19,436 </w:t>
            </w:r>
            <w:r w:rsidR="000436B3" w:rsidRPr="000436B3">
              <w:rPr>
                <w:rFonts w:ascii="Calibri" w:hAnsi="Calibri" w:cs="Calibri"/>
                <w:b/>
                <w:bCs/>
                <w:sz w:val="24"/>
              </w:rPr>
              <w:t>€</w:t>
            </w:r>
          </w:p>
        </w:tc>
      </w:tr>
      <w:tr w:rsidR="000436B3" w:rsidRPr="00F0028C" w:rsidTr="00627F81">
        <w:tc>
          <w:tcPr>
            <w:tcW w:w="1101" w:type="dxa"/>
            <w:vMerge w:val="restart"/>
            <w:tcBorders>
              <w:top w:val="double" w:sz="4" w:space="0" w:color="auto"/>
              <w:right w:val="single" w:sz="12" w:space="0" w:color="auto"/>
            </w:tcBorders>
          </w:tcPr>
          <w:p w:rsidR="000436B3" w:rsidRPr="000436B3" w:rsidRDefault="000436B3" w:rsidP="008E26F4">
            <w:pPr>
              <w:rPr>
                <w:rFonts w:ascii="Calibri" w:hAnsi="Calibri" w:cs="Calibri"/>
                <w:sz w:val="24"/>
              </w:rPr>
            </w:pPr>
            <w:r w:rsidRPr="000436B3">
              <w:rPr>
                <w:rFonts w:ascii="Calibri" w:hAnsi="Calibri" w:cs="Calibri"/>
                <w:sz w:val="24"/>
              </w:rPr>
              <w:t>2013</w:t>
            </w:r>
          </w:p>
        </w:tc>
        <w:tc>
          <w:tcPr>
            <w:tcW w:w="6237" w:type="dxa"/>
            <w:tcBorders>
              <w:top w:val="double" w:sz="4" w:space="0" w:color="auto"/>
              <w:bottom w:val="single" w:sz="4" w:space="0" w:color="auto"/>
              <w:right w:val="single" w:sz="12" w:space="0" w:color="auto"/>
            </w:tcBorders>
          </w:tcPr>
          <w:p w:rsidR="000436B3" w:rsidRPr="000436B3" w:rsidRDefault="008B567D" w:rsidP="008E26F4">
            <w:pPr>
              <w:rPr>
                <w:rFonts w:ascii="Calibri" w:hAnsi="Calibri" w:cs="Calibri"/>
                <w:sz w:val="24"/>
              </w:rPr>
            </w:pPr>
            <w:r w:rsidRPr="000436B3">
              <w:rPr>
                <w:rFonts w:ascii="Calibri" w:hAnsi="Calibri" w:cs="Calibri"/>
                <w:sz w:val="24"/>
              </w:rPr>
              <w:t>Study tour - telemedicine</w:t>
            </w:r>
          </w:p>
        </w:tc>
        <w:tc>
          <w:tcPr>
            <w:tcW w:w="1417" w:type="dxa"/>
            <w:tcBorders>
              <w:top w:val="double" w:sz="4" w:space="0" w:color="auto"/>
              <w:left w:val="single" w:sz="12" w:space="0" w:color="auto"/>
              <w:bottom w:val="single" w:sz="4" w:space="0" w:color="auto"/>
            </w:tcBorders>
          </w:tcPr>
          <w:p w:rsidR="000436B3" w:rsidRPr="000436B3" w:rsidRDefault="008B567D" w:rsidP="008E26F4">
            <w:pPr>
              <w:jc w:val="right"/>
              <w:rPr>
                <w:rFonts w:ascii="Calibri" w:hAnsi="Calibri" w:cs="Calibri"/>
                <w:bCs/>
                <w:sz w:val="24"/>
              </w:rPr>
            </w:pPr>
            <w:r>
              <w:rPr>
                <w:rFonts w:ascii="Calibri" w:hAnsi="Calibri" w:cs="Calibri"/>
                <w:bCs/>
                <w:sz w:val="24"/>
              </w:rPr>
              <w:t>12,000</w:t>
            </w:r>
            <w:r w:rsidR="000436B3" w:rsidRPr="000436B3">
              <w:rPr>
                <w:rFonts w:ascii="Calibri" w:hAnsi="Calibri" w:cs="Calibri"/>
                <w:bCs/>
                <w:sz w:val="24"/>
              </w:rPr>
              <w:t xml:space="preserve"> €</w:t>
            </w:r>
          </w:p>
        </w:tc>
      </w:tr>
      <w:tr w:rsidR="000436B3" w:rsidRPr="00F0028C" w:rsidTr="00627F81">
        <w:tc>
          <w:tcPr>
            <w:tcW w:w="1101" w:type="dxa"/>
            <w:vMerge/>
            <w:tcBorders>
              <w:right w:val="single" w:sz="12" w:space="0" w:color="auto"/>
            </w:tcBorders>
          </w:tcPr>
          <w:p w:rsidR="000436B3" w:rsidRPr="000436B3" w:rsidRDefault="000436B3" w:rsidP="008E26F4">
            <w:pPr>
              <w:rPr>
                <w:rFonts w:ascii="Calibri" w:hAnsi="Calibri" w:cs="Calibri"/>
                <w:sz w:val="24"/>
              </w:rPr>
            </w:pPr>
          </w:p>
        </w:tc>
        <w:tc>
          <w:tcPr>
            <w:tcW w:w="6237" w:type="dxa"/>
            <w:tcBorders>
              <w:top w:val="single" w:sz="4" w:space="0" w:color="auto"/>
              <w:bottom w:val="single" w:sz="2" w:space="0" w:color="auto"/>
              <w:right w:val="single" w:sz="12" w:space="0" w:color="auto"/>
            </w:tcBorders>
          </w:tcPr>
          <w:p w:rsidR="000436B3" w:rsidRPr="000436B3" w:rsidRDefault="008B567D" w:rsidP="008E26F4">
            <w:pPr>
              <w:rPr>
                <w:rFonts w:ascii="Calibri" w:hAnsi="Calibri" w:cs="Calibri"/>
                <w:sz w:val="24"/>
              </w:rPr>
            </w:pPr>
            <w:r>
              <w:rPr>
                <w:rFonts w:ascii="Calibri" w:hAnsi="Calibri" w:cs="Calibri"/>
                <w:sz w:val="24"/>
              </w:rPr>
              <w:t>Study tour –</w:t>
            </w:r>
            <w:r w:rsidR="006F2506">
              <w:rPr>
                <w:rFonts w:ascii="Calibri" w:hAnsi="Calibri" w:cs="Calibri"/>
                <w:sz w:val="24"/>
              </w:rPr>
              <w:t xml:space="preserve"> gender equality</w:t>
            </w:r>
          </w:p>
        </w:tc>
        <w:tc>
          <w:tcPr>
            <w:tcW w:w="1417" w:type="dxa"/>
            <w:tcBorders>
              <w:top w:val="single" w:sz="4" w:space="0" w:color="auto"/>
              <w:left w:val="single" w:sz="12" w:space="0" w:color="auto"/>
              <w:bottom w:val="single" w:sz="2" w:space="0" w:color="auto"/>
            </w:tcBorders>
          </w:tcPr>
          <w:p w:rsidR="000436B3" w:rsidRPr="000436B3" w:rsidRDefault="008B567D" w:rsidP="008E26F4">
            <w:pPr>
              <w:jc w:val="right"/>
              <w:rPr>
                <w:rFonts w:ascii="Calibri" w:hAnsi="Calibri" w:cs="Calibri"/>
                <w:bCs/>
                <w:sz w:val="24"/>
              </w:rPr>
            </w:pPr>
            <w:r>
              <w:rPr>
                <w:rFonts w:ascii="Calibri" w:hAnsi="Calibri" w:cs="Calibri"/>
                <w:bCs/>
                <w:sz w:val="24"/>
              </w:rPr>
              <w:t>10</w:t>
            </w:r>
            <w:r w:rsidR="000436B3" w:rsidRPr="000436B3">
              <w:rPr>
                <w:rFonts w:ascii="Calibri" w:hAnsi="Calibri" w:cs="Calibri"/>
                <w:bCs/>
                <w:sz w:val="24"/>
              </w:rPr>
              <w:t>,000 €</w:t>
            </w:r>
          </w:p>
        </w:tc>
      </w:tr>
      <w:tr w:rsidR="008B567D" w:rsidRPr="00F0028C" w:rsidTr="00627F81">
        <w:tc>
          <w:tcPr>
            <w:tcW w:w="1101" w:type="dxa"/>
            <w:vMerge/>
            <w:tcBorders>
              <w:right w:val="single" w:sz="12" w:space="0" w:color="auto"/>
            </w:tcBorders>
          </w:tcPr>
          <w:p w:rsidR="008B567D" w:rsidRPr="000436B3" w:rsidRDefault="008B567D" w:rsidP="008E26F4">
            <w:pPr>
              <w:rPr>
                <w:rFonts w:ascii="Calibri" w:hAnsi="Calibri" w:cs="Calibri"/>
                <w:sz w:val="24"/>
              </w:rPr>
            </w:pPr>
          </w:p>
        </w:tc>
        <w:tc>
          <w:tcPr>
            <w:tcW w:w="6237" w:type="dxa"/>
            <w:tcBorders>
              <w:top w:val="single" w:sz="4" w:space="0" w:color="auto"/>
              <w:bottom w:val="single" w:sz="4" w:space="0" w:color="auto"/>
              <w:right w:val="single" w:sz="12" w:space="0" w:color="auto"/>
            </w:tcBorders>
          </w:tcPr>
          <w:p w:rsidR="008B567D" w:rsidRPr="000436B3" w:rsidRDefault="008B567D" w:rsidP="008E26F4">
            <w:pPr>
              <w:rPr>
                <w:rFonts w:ascii="Calibri" w:hAnsi="Calibri" w:cs="Calibri"/>
                <w:sz w:val="24"/>
              </w:rPr>
            </w:pPr>
            <w:r>
              <w:rPr>
                <w:rFonts w:ascii="Calibri" w:hAnsi="Calibri" w:cs="Calibri"/>
                <w:sz w:val="24"/>
              </w:rPr>
              <w:t>Study tour – Experiences from EU integration</w:t>
            </w:r>
          </w:p>
        </w:tc>
        <w:tc>
          <w:tcPr>
            <w:tcW w:w="1417" w:type="dxa"/>
            <w:tcBorders>
              <w:top w:val="single" w:sz="4" w:space="0" w:color="auto"/>
              <w:left w:val="single" w:sz="12" w:space="0" w:color="auto"/>
              <w:bottom w:val="single" w:sz="4" w:space="0" w:color="auto"/>
            </w:tcBorders>
          </w:tcPr>
          <w:p w:rsidR="008B567D" w:rsidRPr="000436B3" w:rsidRDefault="005C0670" w:rsidP="008E26F4">
            <w:pPr>
              <w:jc w:val="right"/>
              <w:rPr>
                <w:rFonts w:ascii="Calibri" w:hAnsi="Calibri" w:cs="Calibri"/>
                <w:bCs/>
                <w:sz w:val="24"/>
              </w:rPr>
            </w:pPr>
            <w:r>
              <w:rPr>
                <w:rFonts w:ascii="Calibri" w:hAnsi="Calibri" w:cs="Calibri"/>
                <w:bCs/>
                <w:sz w:val="24"/>
              </w:rPr>
              <w:t>4</w:t>
            </w:r>
            <w:r w:rsidR="008B567D">
              <w:rPr>
                <w:rFonts w:ascii="Calibri" w:hAnsi="Calibri" w:cs="Calibri"/>
                <w:bCs/>
                <w:sz w:val="24"/>
              </w:rPr>
              <w:t>,000 €</w:t>
            </w:r>
          </w:p>
        </w:tc>
      </w:tr>
      <w:tr w:rsidR="008B567D" w:rsidRPr="00F0028C" w:rsidTr="00627F81">
        <w:tc>
          <w:tcPr>
            <w:tcW w:w="1101" w:type="dxa"/>
            <w:vMerge/>
            <w:tcBorders>
              <w:right w:val="single" w:sz="12" w:space="0" w:color="auto"/>
            </w:tcBorders>
          </w:tcPr>
          <w:p w:rsidR="008B567D" w:rsidRPr="000436B3" w:rsidRDefault="008B567D" w:rsidP="008E26F4">
            <w:pPr>
              <w:rPr>
                <w:rFonts w:ascii="Calibri" w:hAnsi="Calibri" w:cs="Calibri"/>
                <w:sz w:val="24"/>
              </w:rPr>
            </w:pPr>
          </w:p>
        </w:tc>
        <w:tc>
          <w:tcPr>
            <w:tcW w:w="6237" w:type="dxa"/>
            <w:tcBorders>
              <w:top w:val="single" w:sz="4" w:space="0" w:color="auto"/>
              <w:bottom w:val="single" w:sz="4" w:space="0" w:color="auto"/>
              <w:right w:val="single" w:sz="12" w:space="0" w:color="auto"/>
            </w:tcBorders>
          </w:tcPr>
          <w:p w:rsidR="008B567D" w:rsidRPr="009B5E47" w:rsidRDefault="006F2506" w:rsidP="006F2506">
            <w:pPr>
              <w:rPr>
                <w:rFonts w:ascii="Calibri" w:hAnsi="Calibri" w:cs="Calibri"/>
                <w:sz w:val="24"/>
              </w:rPr>
            </w:pPr>
            <w:r>
              <w:rPr>
                <w:rFonts w:ascii="Calibri" w:hAnsi="Calibri" w:cs="Calibri"/>
                <w:sz w:val="24"/>
              </w:rPr>
              <w:t>C</w:t>
            </w:r>
            <w:r w:rsidRPr="008B567D">
              <w:rPr>
                <w:rFonts w:ascii="Calibri" w:hAnsi="Calibri" w:cs="Calibri"/>
                <w:sz w:val="24"/>
              </w:rPr>
              <w:t xml:space="preserve">onference </w:t>
            </w:r>
            <w:r>
              <w:rPr>
                <w:rFonts w:ascii="Calibri" w:hAnsi="Calibri" w:cs="Calibri"/>
                <w:sz w:val="24"/>
              </w:rPr>
              <w:t xml:space="preserve">- </w:t>
            </w:r>
            <w:r w:rsidRPr="006F2506">
              <w:rPr>
                <w:rFonts w:ascii="Calibri" w:hAnsi="Calibri" w:cs="Calibri"/>
                <w:sz w:val="24"/>
              </w:rPr>
              <w:t>Slovenian / EEA countries experiences in the past and future European integration</w:t>
            </w:r>
          </w:p>
        </w:tc>
        <w:tc>
          <w:tcPr>
            <w:tcW w:w="1417" w:type="dxa"/>
            <w:tcBorders>
              <w:top w:val="single" w:sz="4" w:space="0" w:color="auto"/>
              <w:left w:val="single" w:sz="12" w:space="0" w:color="auto"/>
              <w:bottom w:val="single" w:sz="4" w:space="0" w:color="auto"/>
            </w:tcBorders>
          </w:tcPr>
          <w:p w:rsidR="008B567D" w:rsidRPr="000436B3" w:rsidRDefault="008B567D" w:rsidP="005C0670">
            <w:pPr>
              <w:jc w:val="right"/>
              <w:rPr>
                <w:rFonts w:ascii="Calibri" w:hAnsi="Calibri" w:cs="Calibri"/>
                <w:bCs/>
                <w:sz w:val="24"/>
              </w:rPr>
            </w:pPr>
            <w:r>
              <w:rPr>
                <w:rFonts w:ascii="Calibri" w:hAnsi="Calibri" w:cs="Calibri"/>
                <w:bCs/>
                <w:sz w:val="24"/>
              </w:rPr>
              <w:t>2</w:t>
            </w:r>
            <w:r w:rsidR="005C0670">
              <w:rPr>
                <w:rFonts w:ascii="Calibri" w:hAnsi="Calibri" w:cs="Calibri"/>
                <w:bCs/>
                <w:sz w:val="24"/>
              </w:rPr>
              <w:t>9</w:t>
            </w:r>
            <w:r>
              <w:rPr>
                <w:rFonts w:ascii="Calibri" w:hAnsi="Calibri" w:cs="Calibri"/>
                <w:bCs/>
                <w:sz w:val="24"/>
              </w:rPr>
              <w:t>,500 €</w:t>
            </w:r>
          </w:p>
        </w:tc>
      </w:tr>
      <w:tr w:rsidR="000436B3" w:rsidRPr="00F0028C" w:rsidTr="00627F81">
        <w:tc>
          <w:tcPr>
            <w:tcW w:w="1101" w:type="dxa"/>
            <w:vMerge/>
            <w:tcBorders>
              <w:right w:val="single" w:sz="12" w:space="0" w:color="auto"/>
            </w:tcBorders>
          </w:tcPr>
          <w:p w:rsidR="000436B3" w:rsidRPr="000436B3" w:rsidRDefault="000436B3" w:rsidP="008E26F4">
            <w:pPr>
              <w:rPr>
                <w:rFonts w:ascii="Calibri" w:hAnsi="Calibri" w:cs="Calibri"/>
                <w:sz w:val="24"/>
              </w:rPr>
            </w:pPr>
          </w:p>
        </w:tc>
        <w:tc>
          <w:tcPr>
            <w:tcW w:w="6237" w:type="dxa"/>
            <w:tcBorders>
              <w:top w:val="single" w:sz="4" w:space="0" w:color="auto"/>
              <w:bottom w:val="single" w:sz="4" w:space="0" w:color="auto"/>
              <w:right w:val="single" w:sz="12" w:space="0" w:color="auto"/>
            </w:tcBorders>
          </w:tcPr>
          <w:p w:rsidR="000436B3" w:rsidRPr="000436B3" w:rsidRDefault="008B567D" w:rsidP="008E26F4">
            <w:pPr>
              <w:rPr>
                <w:rFonts w:ascii="Calibri" w:hAnsi="Calibri" w:cs="Calibri"/>
                <w:sz w:val="24"/>
              </w:rPr>
            </w:pPr>
            <w:r w:rsidRPr="009B5E47">
              <w:rPr>
                <w:rFonts w:ascii="Calibri" w:hAnsi="Calibri" w:cs="Calibri"/>
                <w:sz w:val="24"/>
              </w:rPr>
              <w:t>Other initiatives to be agreed with the donors</w:t>
            </w:r>
          </w:p>
        </w:tc>
        <w:tc>
          <w:tcPr>
            <w:tcW w:w="1417" w:type="dxa"/>
            <w:tcBorders>
              <w:top w:val="single" w:sz="4" w:space="0" w:color="auto"/>
              <w:left w:val="single" w:sz="12" w:space="0" w:color="auto"/>
              <w:bottom w:val="single" w:sz="4" w:space="0" w:color="auto"/>
            </w:tcBorders>
          </w:tcPr>
          <w:p w:rsidR="000436B3" w:rsidRPr="000436B3" w:rsidRDefault="006F2506" w:rsidP="006F2506">
            <w:pPr>
              <w:jc w:val="right"/>
              <w:rPr>
                <w:rFonts w:ascii="Calibri" w:hAnsi="Calibri" w:cs="Calibri"/>
                <w:bCs/>
                <w:sz w:val="24"/>
              </w:rPr>
            </w:pPr>
            <w:r>
              <w:rPr>
                <w:rFonts w:ascii="Calibri" w:hAnsi="Calibri" w:cs="Calibri"/>
                <w:bCs/>
                <w:sz w:val="24"/>
              </w:rPr>
              <w:t>3</w:t>
            </w:r>
            <w:r w:rsidR="000436B3" w:rsidRPr="000436B3">
              <w:rPr>
                <w:rFonts w:ascii="Calibri" w:hAnsi="Calibri" w:cs="Calibri"/>
                <w:bCs/>
                <w:sz w:val="24"/>
              </w:rPr>
              <w:t>,</w:t>
            </w:r>
            <w:r>
              <w:rPr>
                <w:rFonts w:ascii="Calibri" w:hAnsi="Calibri" w:cs="Calibri"/>
                <w:bCs/>
                <w:sz w:val="24"/>
              </w:rPr>
              <w:t>6</w:t>
            </w:r>
            <w:r w:rsidR="000436B3" w:rsidRPr="000436B3">
              <w:rPr>
                <w:rFonts w:ascii="Calibri" w:hAnsi="Calibri" w:cs="Calibri"/>
                <w:bCs/>
                <w:sz w:val="24"/>
              </w:rPr>
              <w:t>00 €</w:t>
            </w:r>
          </w:p>
        </w:tc>
      </w:tr>
      <w:tr w:rsidR="000436B3" w:rsidRPr="00FB0DFF" w:rsidTr="00627F81">
        <w:tc>
          <w:tcPr>
            <w:tcW w:w="1101" w:type="dxa"/>
            <w:vMerge/>
            <w:tcBorders>
              <w:bottom w:val="single" w:sz="2" w:space="0" w:color="auto"/>
              <w:right w:val="single" w:sz="12" w:space="0" w:color="auto"/>
            </w:tcBorders>
          </w:tcPr>
          <w:p w:rsidR="000436B3" w:rsidRPr="000436B3" w:rsidRDefault="000436B3" w:rsidP="008E26F4">
            <w:pPr>
              <w:rPr>
                <w:rFonts w:ascii="Calibri" w:hAnsi="Calibri" w:cs="Calibri"/>
                <w:sz w:val="24"/>
              </w:rPr>
            </w:pPr>
          </w:p>
        </w:tc>
        <w:tc>
          <w:tcPr>
            <w:tcW w:w="6237" w:type="dxa"/>
            <w:tcBorders>
              <w:top w:val="single" w:sz="4" w:space="0" w:color="auto"/>
              <w:bottom w:val="single" w:sz="2" w:space="0" w:color="auto"/>
              <w:right w:val="single" w:sz="12" w:space="0" w:color="auto"/>
            </w:tcBorders>
            <w:shd w:val="clear" w:color="auto" w:fill="EAF1DD" w:themeFill="accent3" w:themeFillTint="33"/>
          </w:tcPr>
          <w:p w:rsidR="000436B3" w:rsidRPr="000436B3" w:rsidRDefault="000436B3" w:rsidP="008E26F4">
            <w:pPr>
              <w:jc w:val="right"/>
              <w:rPr>
                <w:rFonts w:ascii="Calibri" w:hAnsi="Calibri" w:cs="Calibri"/>
                <w:b/>
                <w:sz w:val="24"/>
              </w:rPr>
            </w:pPr>
            <w:r w:rsidRPr="000436B3">
              <w:rPr>
                <w:rFonts w:ascii="Calibri" w:hAnsi="Calibri" w:cs="Calibri"/>
                <w:b/>
                <w:sz w:val="24"/>
              </w:rPr>
              <w:t>TOTAL</w:t>
            </w:r>
          </w:p>
        </w:tc>
        <w:tc>
          <w:tcPr>
            <w:tcW w:w="1417" w:type="dxa"/>
            <w:tcBorders>
              <w:top w:val="single" w:sz="4" w:space="0" w:color="auto"/>
              <w:left w:val="single" w:sz="12" w:space="0" w:color="auto"/>
              <w:bottom w:val="single" w:sz="2" w:space="0" w:color="auto"/>
            </w:tcBorders>
            <w:shd w:val="clear" w:color="auto" w:fill="EAF1DD" w:themeFill="accent3" w:themeFillTint="33"/>
          </w:tcPr>
          <w:p w:rsidR="000436B3" w:rsidRPr="000436B3" w:rsidRDefault="006F2506" w:rsidP="008E26F4">
            <w:pPr>
              <w:jc w:val="right"/>
              <w:rPr>
                <w:rFonts w:ascii="Calibri" w:hAnsi="Calibri" w:cs="Calibri"/>
                <w:b/>
                <w:sz w:val="24"/>
              </w:rPr>
            </w:pPr>
            <w:r>
              <w:rPr>
                <w:rFonts w:ascii="Calibri" w:hAnsi="Calibri" w:cs="Calibri"/>
                <w:b/>
                <w:sz w:val="24"/>
              </w:rPr>
              <w:t>59,100</w:t>
            </w:r>
            <w:r w:rsidR="000436B3" w:rsidRPr="000436B3">
              <w:rPr>
                <w:rFonts w:ascii="Calibri" w:hAnsi="Calibri" w:cs="Calibri"/>
                <w:b/>
                <w:sz w:val="24"/>
              </w:rPr>
              <w:t xml:space="preserve"> €</w:t>
            </w:r>
          </w:p>
        </w:tc>
      </w:tr>
      <w:tr w:rsidR="000436B3" w:rsidRPr="00F0028C" w:rsidTr="00627F81">
        <w:tc>
          <w:tcPr>
            <w:tcW w:w="1101" w:type="dxa"/>
            <w:vMerge w:val="restart"/>
            <w:tcBorders>
              <w:top w:val="single" w:sz="2" w:space="0" w:color="auto"/>
              <w:right w:val="single" w:sz="12" w:space="0" w:color="auto"/>
            </w:tcBorders>
          </w:tcPr>
          <w:p w:rsidR="000436B3" w:rsidRPr="000436B3" w:rsidRDefault="000436B3" w:rsidP="008E26F4">
            <w:pPr>
              <w:rPr>
                <w:rFonts w:ascii="Calibri" w:hAnsi="Calibri" w:cs="Calibri"/>
                <w:sz w:val="24"/>
              </w:rPr>
            </w:pPr>
            <w:r w:rsidRPr="000436B3">
              <w:rPr>
                <w:rFonts w:ascii="Calibri" w:hAnsi="Calibri" w:cs="Calibri"/>
                <w:sz w:val="24"/>
              </w:rPr>
              <w:t>2014</w:t>
            </w:r>
          </w:p>
        </w:tc>
        <w:tc>
          <w:tcPr>
            <w:tcW w:w="6237" w:type="dxa"/>
            <w:tcBorders>
              <w:top w:val="single" w:sz="2" w:space="0" w:color="auto"/>
              <w:bottom w:val="single" w:sz="2" w:space="0" w:color="auto"/>
              <w:right w:val="single" w:sz="12" w:space="0" w:color="auto"/>
            </w:tcBorders>
          </w:tcPr>
          <w:p w:rsidR="000436B3" w:rsidRPr="000436B3" w:rsidRDefault="006F2506" w:rsidP="006F2506">
            <w:pPr>
              <w:rPr>
                <w:rFonts w:ascii="Calibri" w:hAnsi="Calibri" w:cs="Calibri"/>
                <w:sz w:val="24"/>
              </w:rPr>
            </w:pPr>
            <w:r>
              <w:rPr>
                <w:rFonts w:ascii="Calibri" w:hAnsi="Calibri" w:cs="Calibri"/>
                <w:sz w:val="24"/>
              </w:rPr>
              <w:t>Conference - health inequalities</w:t>
            </w:r>
          </w:p>
        </w:tc>
        <w:tc>
          <w:tcPr>
            <w:tcW w:w="1417" w:type="dxa"/>
            <w:tcBorders>
              <w:top w:val="single" w:sz="2" w:space="0" w:color="auto"/>
              <w:left w:val="single" w:sz="12" w:space="0" w:color="auto"/>
              <w:bottom w:val="single" w:sz="2" w:space="0" w:color="auto"/>
            </w:tcBorders>
          </w:tcPr>
          <w:p w:rsidR="000436B3" w:rsidRPr="000436B3" w:rsidRDefault="006F2506" w:rsidP="008E26F4">
            <w:pPr>
              <w:jc w:val="right"/>
              <w:rPr>
                <w:rFonts w:ascii="Calibri" w:hAnsi="Calibri" w:cs="Calibri"/>
                <w:sz w:val="24"/>
              </w:rPr>
            </w:pPr>
            <w:r>
              <w:rPr>
                <w:rFonts w:ascii="Calibri" w:hAnsi="Calibri" w:cs="Calibri"/>
                <w:sz w:val="24"/>
              </w:rPr>
              <w:t>18,000</w:t>
            </w:r>
          </w:p>
        </w:tc>
      </w:tr>
      <w:tr w:rsidR="008B567D" w:rsidRPr="00F0028C" w:rsidTr="00627F81">
        <w:tc>
          <w:tcPr>
            <w:tcW w:w="1101" w:type="dxa"/>
            <w:vMerge/>
            <w:tcBorders>
              <w:right w:val="single" w:sz="12" w:space="0" w:color="auto"/>
            </w:tcBorders>
          </w:tcPr>
          <w:p w:rsidR="008B567D" w:rsidRPr="000436B3" w:rsidRDefault="008B567D" w:rsidP="008E26F4">
            <w:pPr>
              <w:rPr>
                <w:rFonts w:ascii="Calibri" w:hAnsi="Calibri" w:cs="Calibri"/>
                <w:sz w:val="24"/>
              </w:rPr>
            </w:pPr>
          </w:p>
        </w:tc>
        <w:tc>
          <w:tcPr>
            <w:tcW w:w="6237" w:type="dxa"/>
            <w:tcBorders>
              <w:top w:val="single" w:sz="2" w:space="0" w:color="auto"/>
              <w:bottom w:val="single" w:sz="2" w:space="0" w:color="auto"/>
              <w:right w:val="single" w:sz="12" w:space="0" w:color="auto"/>
            </w:tcBorders>
          </w:tcPr>
          <w:p w:rsidR="008B567D" w:rsidRPr="00FB0DFF" w:rsidRDefault="006F2506" w:rsidP="008E26F4">
            <w:r w:rsidRPr="006F2506">
              <w:rPr>
                <w:rFonts w:ascii="Calibri" w:hAnsi="Calibri" w:cs="Calibri"/>
                <w:sz w:val="24"/>
              </w:rPr>
              <w:t xml:space="preserve">Conference – gender </w:t>
            </w:r>
            <w:r>
              <w:rPr>
                <w:rFonts w:ascii="Calibri" w:hAnsi="Calibri" w:cs="Calibri"/>
                <w:sz w:val="24"/>
              </w:rPr>
              <w:t>equality</w:t>
            </w:r>
          </w:p>
        </w:tc>
        <w:tc>
          <w:tcPr>
            <w:tcW w:w="1417" w:type="dxa"/>
            <w:tcBorders>
              <w:top w:val="single" w:sz="2" w:space="0" w:color="auto"/>
              <w:left w:val="single" w:sz="12" w:space="0" w:color="auto"/>
              <w:bottom w:val="single" w:sz="2" w:space="0" w:color="auto"/>
            </w:tcBorders>
          </w:tcPr>
          <w:p w:rsidR="008B567D" w:rsidRPr="000436B3" w:rsidRDefault="006F2506" w:rsidP="008E26F4">
            <w:pPr>
              <w:jc w:val="right"/>
              <w:rPr>
                <w:rFonts w:ascii="Calibri" w:hAnsi="Calibri" w:cs="Calibri"/>
                <w:bCs/>
                <w:sz w:val="24"/>
              </w:rPr>
            </w:pPr>
            <w:r>
              <w:rPr>
                <w:rFonts w:ascii="Calibri" w:hAnsi="Calibri" w:cs="Calibri"/>
                <w:bCs/>
                <w:sz w:val="24"/>
              </w:rPr>
              <w:t>23,500</w:t>
            </w:r>
          </w:p>
        </w:tc>
      </w:tr>
      <w:tr w:rsidR="000436B3" w:rsidRPr="00F0028C" w:rsidTr="00627F81">
        <w:tc>
          <w:tcPr>
            <w:tcW w:w="1101" w:type="dxa"/>
            <w:vMerge/>
            <w:tcBorders>
              <w:right w:val="single" w:sz="12" w:space="0" w:color="auto"/>
            </w:tcBorders>
          </w:tcPr>
          <w:p w:rsidR="000436B3" w:rsidRPr="000436B3" w:rsidRDefault="000436B3" w:rsidP="008E26F4">
            <w:pPr>
              <w:rPr>
                <w:rFonts w:ascii="Calibri" w:hAnsi="Calibri" w:cs="Calibri"/>
                <w:sz w:val="24"/>
              </w:rPr>
            </w:pPr>
          </w:p>
        </w:tc>
        <w:tc>
          <w:tcPr>
            <w:tcW w:w="6237" w:type="dxa"/>
            <w:tcBorders>
              <w:top w:val="single" w:sz="2" w:space="0" w:color="auto"/>
              <w:bottom w:val="single" w:sz="2" w:space="0" w:color="auto"/>
              <w:right w:val="single" w:sz="12" w:space="0" w:color="auto"/>
            </w:tcBorders>
          </w:tcPr>
          <w:p w:rsidR="000436B3" w:rsidRPr="002333B2" w:rsidRDefault="006F2506" w:rsidP="008E26F4">
            <w:r w:rsidRPr="009B5E47">
              <w:rPr>
                <w:rFonts w:ascii="Calibri" w:hAnsi="Calibri" w:cs="Calibri"/>
                <w:sz w:val="24"/>
              </w:rPr>
              <w:t>Other initiatives to be agreed with the donors</w:t>
            </w:r>
          </w:p>
        </w:tc>
        <w:tc>
          <w:tcPr>
            <w:tcW w:w="1417" w:type="dxa"/>
            <w:tcBorders>
              <w:top w:val="single" w:sz="2" w:space="0" w:color="auto"/>
              <w:left w:val="single" w:sz="12" w:space="0" w:color="auto"/>
              <w:bottom w:val="single" w:sz="2" w:space="0" w:color="auto"/>
            </w:tcBorders>
          </w:tcPr>
          <w:p w:rsidR="000436B3" w:rsidRPr="000436B3" w:rsidRDefault="006F2506" w:rsidP="008E26F4">
            <w:pPr>
              <w:jc w:val="right"/>
              <w:rPr>
                <w:rFonts w:ascii="Calibri" w:hAnsi="Calibri" w:cs="Calibri"/>
                <w:bCs/>
                <w:sz w:val="24"/>
              </w:rPr>
            </w:pPr>
            <w:r>
              <w:rPr>
                <w:rFonts w:ascii="Calibri" w:hAnsi="Calibri" w:cs="Calibri"/>
                <w:bCs/>
                <w:sz w:val="24"/>
              </w:rPr>
              <w:t>3,600</w:t>
            </w:r>
            <w:r w:rsidR="000436B3" w:rsidRPr="000436B3">
              <w:rPr>
                <w:rFonts w:ascii="Calibri" w:hAnsi="Calibri" w:cs="Calibri"/>
                <w:bCs/>
                <w:sz w:val="24"/>
              </w:rPr>
              <w:t xml:space="preserve"> €</w:t>
            </w:r>
          </w:p>
        </w:tc>
      </w:tr>
      <w:tr w:rsidR="000436B3" w:rsidRPr="00F0028C" w:rsidTr="00627F81">
        <w:tc>
          <w:tcPr>
            <w:tcW w:w="1101" w:type="dxa"/>
            <w:vMerge/>
            <w:tcBorders>
              <w:bottom w:val="single" w:sz="2" w:space="0" w:color="auto"/>
              <w:right w:val="single" w:sz="12" w:space="0" w:color="auto"/>
            </w:tcBorders>
          </w:tcPr>
          <w:p w:rsidR="000436B3" w:rsidRPr="000436B3" w:rsidRDefault="000436B3" w:rsidP="008E26F4">
            <w:pPr>
              <w:rPr>
                <w:rFonts w:ascii="Calibri" w:hAnsi="Calibri" w:cs="Calibri"/>
                <w:sz w:val="24"/>
              </w:rPr>
            </w:pPr>
          </w:p>
        </w:tc>
        <w:tc>
          <w:tcPr>
            <w:tcW w:w="6237" w:type="dxa"/>
            <w:tcBorders>
              <w:top w:val="single" w:sz="2" w:space="0" w:color="auto"/>
              <w:bottom w:val="single" w:sz="2" w:space="0" w:color="auto"/>
              <w:right w:val="single" w:sz="12" w:space="0" w:color="auto"/>
            </w:tcBorders>
            <w:shd w:val="clear" w:color="auto" w:fill="EAF1DD" w:themeFill="accent3" w:themeFillTint="33"/>
          </w:tcPr>
          <w:p w:rsidR="000436B3" w:rsidRPr="000436B3" w:rsidRDefault="000436B3" w:rsidP="008E26F4">
            <w:pPr>
              <w:jc w:val="right"/>
              <w:rPr>
                <w:rFonts w:ascii="Calibri" w:hAnsi="Calibri" w:cs="Calibri"/>
                <w:b/>
                <w:sz w:val="24"/>
              </w:rPr>
            </w:pPr>
            <w:r w:rsidRPr="000436B3">
              <w:rPr>
                <w:rFonts w:ascii="Calibri" w:hAnsi="Calibri" w:cs="Calibri"/>
                <w:b/>
                <w:sz w:val="24"/>
              </w:rPr>
              <w:t>TOTAL</w:t>
            </w:r>
            <w:r w:rsidR="004A301D">
              <w:rPr>
                <w:rFonts w:ascii="Calibri" w:hAnsi="Calibri" w:cs="Calibri"/>
                <w:b/>
                <w:sz w:val="24"/>
              </w:rPr>
              <w:t xml:space="preserve"> </w:t>
            </w:r>
          </w:p>
        </w:tc>
        <w:tc>
          <w:tcPr>
            <w:tcW w:w="1417" w:type="dxa"/>
            <w:tcBorders>
              <w:top w:val="single" w:sz="2" w:space="0" w:color="auto"/>
              <w:left w:val="single" w:sz="12" w:space="0" w:color="auto"/>
              <w:bottom w:val="single" w:sz="2" w:space="0" w:color="auto"/>
            </w:tcBorders>
            <w:shd w:val="clear" w:color="auto" w:fill="EAF1DD" w:themeFill="accent3" w:themeFillTint="33"/>
          </w:tcPr>
          <w:p w:rsidR="000436B3" w:rsidRPr="000436B3" w:rsidRDefault="006F2506" w:rsidP="008E26F4">
            <w:pPr>
              <w:jc w:val="right"/>
              <w:rPr>
                <w:rFonts w:ascii="Calibri" w:hAnsi="Calibri" w:cs="Calibri"/>
                <w:b/>
                <w:sz w:val="24"/>
              </w:rPr>
            </w:pPr>
            <w:r>
              <w:rPr>
                <w:rFonts w:ascii="Calibri" w:hAnsi="Calibri" w:cs="Calibri"/>
                <w:b/>
                <w:sz w:val="24"/>
              </w:rPr>
              <w:t>45,100</w:t>
            </w:r>
            <w:r w:rsidR="000436B3" w:rsidRPr="000436B3">
              <w:rPr>
                <w:rFonts w:ascii="Calibri" w:hAnsi="Calibri" w:cs="Calibri"/>
                <w:b/>
                <w:sz w:val="24"/>
              </w:rPr>
              <w:t xml:space="preserve"> €</w:t>
            </w:r>
          </w:p>
        </w:tc>
      </w:tr>
      <w:tr w:rsidR="006F2506" w:rsidRPr="00F0028C" w:rsidTr="00627F81">
        <w:tc>
          <w:tcPr>
            <w:tcW w:w="1101" w:type="dxa"/>
            <w:tcBorders>
              <w:top w:val="single" w:sz="2" w:space="0" w:color="auto"/>
              <w:bottom w:val="single" w:sz="2" w:space="0" w:color="auto"/>
              <w:right w:val="single" w:sz="12" w:space="0" w:color="auto"/>
            </w:tcBorders>
          </w:tcPr>
          <w:p w:rsidR="006F2506" w:rsidRPr="000436B3" w:rsidRDefault="006F2506" w:rsidP="008E26F4">
            <w:pPr>
              <w:rPr>
                <w:rFonts w:ascii="Calibri" w:hAnsi="Calibri" w:cs="Calibri"/>
                <w:sz w:val="24"/>
              </w:rPr>
            </w:pPr>
            <w:r w:rsidRPr="000436B3">
              <w:rPr>
                <w:rFonts w:ascii="Calibri" w:hAnsi="Calibri" w:cs="Calibri"/>
                <w:sz w:val="24"/>
              </w:rPr>
              <w:t>2015</w:t>
            </w:r>
          </w:p>
        </w:tc>
        <w:tc>
          <w:tcPr>
            <w:tcW w:w="6237" w:type="dxa"/>
            <w:tcBorders>
              <w:top w:val="single" w:sz="2" w:space="0" w:color="auto"/>
              <w:bottom w:val="single" w:sz="2" w:space="0" w:color="auto"/>
              <w:right w:val="single" w:sz="12" w:space="0" w:color="auto"/>
            </w:tcBorders>
          </w:tcPr>
          <w:p w:rsidR="006F2506" w:rsidRPr="006F2506" w:rsidRDefault="006F2506">
            <w:pPr>
              <w:rPr>
                <w:rFonts w:ascii="Calibri" w:hAnsi="Calibri" w:cs="Calibri"/>
                <w:sz w:val="24"/>
              </w:rPr>
            </w:pPr>
            <w:r w:rsidRPr="006F2506">
              <w:rPr>
                <w:rFonts w:ascii="Calibri" w:hAnsi="Calibri" w:cs="Calibri"/>
                <w:sz w:val="24"/>
              </w:rPr>
              <w:t>Other initiatives to be agreed with the donors</w:t>
            </w:r>
          </w:p>
        </w:tc>
        <w:tc>
          <w:tcPr>
            <w:tcW w:w="1417" w:type="dxa"/>
            <w:tcBorders>
              <w:top w:val="single" w:sz="2" w:space="0" w:color="auto"/>
              <w:left w:val="single" w:sz="12" w:space="0" w:color="auto"/>
              <w:bottom w:val="single" w:sz="2" w:space="0" w:color="auto"/>
            </w:tcBorders>
            <w:shd w:val="clear" w:color="auto" w:fill="EAF1DD" w:themeFill="accent3" w:themeFillTint="33"/>
          </w:tcPr>
          <w:p w:rsidR="006F2506" w:rsidRPr="006F2506" w:rsidRDefault="006F2506" w:rsidP="006F2506">
            <w:pPr>
              <w:jc w:val="right"/>
              <w:rPr>
                <w:rFonts w:ascii="Calibri" w:hAnsi="Calibri" w:cs="Calibri"/>
                <w:b/>
                <w:bCs/>
                <w:sz w:val="24"/>
              </w:rPr>
            </w:pPr>
            <w:r w:rsidRPr="006F2506">
              <w:rPr>
                <w:rFonts w:ascii="Calibri" w:hAnsi="Calibri" w:cs="Calibri"/>
                <w:b/>
                <w:bCs/>
                <w:sz w:val="24"/>
              </w:rPr>
              <w:t>3,600 €</w:t>
            </w:r>
          </w:p>
        </w:tc>
      </w:tr>
      <w:tr w:rsidR="006F2506" w:rsidRPr="00F0028C" w:rsidTr="00627F81">
        <w:tc>
          <w:tcPr>
            <w:tcW w:w="1101" w:type="dxa"/>
            <w:tcBorders>
              <w:top w:val="single" w:sz="2" w:space="0" w:color="auto"/>
              <w:bottom w:val="single" w:sz="2" w:space="0" w:color="auto"/>
              <w:right w:val="single" w:sz="12" w:space="0" w:color="auto"/>
            </w:tcBorders>
          </w:tcPr>
          <w:p w:rsidR="006F2506" w:rsidRPr="000436B3" w:rsidRDefault="006F2506" w:rsidP="008E26F4">
            <w:pPr>
              <w:rPr>
                <w:rFonts w:ascii="Calibri" w:hAnsi="Calibri" w:cs="Calibri"/>
                <w:sz w:val="24"/>
              </w:rPr>
            </w:pPr>
            <w:r w:rsidRPr="000436B3">
              <w:rPr>
                <w:rFonts w:ascii="Calibri" w:hAnsi="Calibri" w:cs="Calibri"/>
                <w:sz w:val="24"/>
              </w:rPr>
              <w:t>2016</w:t>
            </w:r>
          </w:p>
        </w:tc>
        <w:tc>
          <w:tcPr>
            <w:tcW w:w="6237" w:type="dxa"/>
            <w:tcBorders>
              <w:top w:val="single" w:sz="2" w:space="0" w:color="auto"/>
              <w:bottom w:val="single" w:sz="2" w:space="0" w:color="auto"/>
              <w:right w:val="single" w:sz="12" w:space="0" w:color="auto"/>
            </w:tcBorders>
          </w:tcPr>
          <w:p w:rsidR="006F2506" w:rsidRPr="006F2506" w:rsidRDefault="006F2506">
            <w:pPr>
              <w:rPr>
                <w:rFonts w:ascii="Calibri" w:hAnsi="Calibri" w:cs="Calibri"/>
                <w:sz w:val="24"/>
              </w:rPr>
            </w:pPr>
            <w:r w:rsidRPr="006F2506">
              <w:rPr>
                <w:rFonts w:ascii="Calibri" w:hAnsi="Calibri" w:cs="Calibri"/>
                <w:sz w:val="24"/>
              </w:rPr>
              <w:t>Other initiatives to be agreed with the donors</w:t>
            </w:r>
          </w:p>
        </w:tc>
        <w:tc>
          <w:tcPr>
            <w:tcW w:w="1417" w:type="dxa"/>
            <w:tcBorders>
              <w:top w:val="single" w:sz="2" w:space="0" w:color="auto"/>
              <w:left w:val="single" w:sz="12" w:space="0" w:color="auto"/>
              <w:bottom w:val="single" w:sz="2" w:space="0" w:color="auto"/>
            </w:tcBorders>
            <w:shd w:val="clear" w:color="auto" w:fill="EAF1DD" w:themeFill="accent3" w:themeFillTint="33"/>
          </w:tcPr>
          <w:p w:rsidR="006F2506" w:rsidRPr="006F2506" w:rsidRDefault="006F2506" w:rsidP="006F2506">
            <w:pPr>
              <w:jc w:val="right"/>
              <w:rPr>
                <w:rFonts w:ascii="Calibri" w:hAnsi="Calibri" w:cs="Calibri"/>
                <w:b/>
                <w:bCs/>
                <w:sz w:val="24"/>
              </w:rPr>
            </w:pPr>
            <w:r w:rsidRPr="006F2506">
              <w:rPr>
                <w:rFonts w:ascii="Calibri" w:hAnsi="Calibri" w:cs="Calibri"/>
                <w:b/>
                <w:bCs/>
                <w:sz w:val="24"/>
              </w:rPr>
              <w:t>3,600 €</w:t>
            </w:r>
          </w:p>
        </w:tc>
      </w:tr>
      <w:tr w:rsidR="004A301D" w:rsidRPr="00F0028C" w:rsidTr="00627F81">
        <w:tc>
          <w:tcPr>
            <w:tcW w:w="1101" w:type="dxa"/>
            <w:tcBorders>
              <w:top w:val="single" w:sz="2" w:space="0" w:color="auto"/>
              <w:bottom w:val="single" w:sz="2" w:space="0" w:color="auto"/>
              <w:right w:val="single" w:sz="12" w:space="0" w:color="auto"/>
            </w:tcBorders>
          </w:tcPr>
          <w:p w:rsidR="004A301D" w:rsidRPr="000436B3" w:rsidRDefault="004A301D" w:rsidP="008E26F4">
            <w:pPr>
              <w:rPr>
                <w:rFonts w:ascii="Calibri" w:hAnsi="Calibri" w:cs="Calibri"/>
                <w:sz w:val="24"/>
              </w:rPr>
            </w:pPr>
            <w:r>
              <w:rPr>
                <w:rFonts w:ascii="Calibri" w:hAnsi="Calibri" w:cs="Calibri"/>
                <w:sz w:val="24"/>
              </w:rPr>
              <w:t>2017</w:t>
            </w:r>
          </w:p>
        </w:tc>
        <w:tc>
          <w:tcPr>
            <w:tcW w:w="6237" w:type="dxa"/>
            <w:tcBorders>
              <w:top w:val="single" w:sz="2" w:space="0" w:color="auto"/>
              <w:bottom w:val="single" w:sz="2" w:space="0" w:color="auto"/>
              <w:right w:val="single" w:sz="12" w:space="0" w:color="auto"/>
            </w:tcBorders>
          </w:tcPr>
          <w:p w:rsidR="004A301D" w:rsidRPr="006F2506" w:rsidRDefault="004A301D">
            <w:pPr>
              <w:rPr>
                <w:rFonts w:ascii="Calibri" w:hAnsi="Calibri" w:cs="Calibri"/>
                <w:sz w:val="24"/>
              </w:rPr>
            </w:pPr>
            <w:r w:rsidRPr="004A301D">
              <w:rPr>
                <w:rFonts w:ascii="Calibri" w:hAnsi="Calibri" w:cs="Calibri"/>
                <w:sz w:val="24"/>
              </w:rPr>
              <w:t>Other initiatives to be agreed with the donors</w:t>
            </w:r>
          </w:p>
        </w:tc>
        <w:tc>
          <w:tcPr>
            <w:tcW w:w="1417" w:type="dxa"/>
            <w:tcBorders>
              <w:top w:val="single" w:sz="2" w:space="0" w:color="auto"/>
              <w:left w:val="single" w:sz="12" w:space="0" w:color="auto"/>
              <w:bottom w:val="single" w:sz="2" w:space="0" w:color="auto"/>
            </w:tcBorders>
            <w:shd w:val="clear" w:color="auto" w:fill="EAF1DD" w:themeFill="accent3" w:themeFillTint="33"/>
          </w:tcPr>
          <w:p w:rsidR="004A301D" w:rsidRPr="006F2506" w:rsidRDefault="004A301D" w:rsidP="006F2506">
            <w:pPr>
              <w:jc w:val="right"/>
              <w:rPr>
                <w:rFonts w:ascii="Calibri" w:hAnsi="Calibri" w:cs="Calibri"/>
                <w:b/>
                <w:bCs/>
                <w:sz w:val="24"/>
              </w:rPr>
            </w:pPr>
            <w:r>
              <w:rPr>
                <w:rFonts w:ascii="Calibri" w:hAnsi="Calibri" w:cs="Calibri"/>
                <w:b/>
                <w:bCs/>
                <w:sz w:val="24"/>
              </w:rPr>
              <w:t>3,664 €</w:t>
            </w:r>
          </w:p>
        </w:tc>
      </w:tr>
      <w:tr w:rsidR="00CD44E7" w:rsidRPr="00F0028C" w:rsidTr="00627F81">
        <w:tc>
          <w:tcPr>
            <w:tcW w:w="7338" w:type="dxa"/>
            <w:gridSpan w:val="2"/>
            <w:tcBorders>
              <w:top w:val="single" w:sz="2" w:space="0" w:color="auto"/>
              <w:bottom w:val="single" w:sz="12" w:space="0" w:color="auto"/>
              <w:right w:val="single" w:sz="12" w:space="0" w:color="auto"/>
            </w:tcBorders>
            <w:shd w:val="pct5" w:color="auto" w:fill="auto"/>
          </w:tcPr>
          <w:p w:rsidR="00CD44E7" w:rsidRPr="000436B3" w:rsidRDefault="00CD44E7" w:rsidP="00CD44E7">
            <w:pPr>
              <w:rPr>
                <w:rFonts w:ascii="Calibri" w:hAnsi="Calibri" w:cs="Calibri"/>
                <w:b/>
                <w:sz w:val="24"/>
              </w:rPr>
            </w:pPr>
            <w:r w:rsidRPr="000436B3">
              <w:rPr>
                <w:rFonts w:ascii="Calibri" w:hAnsi="Calibri" w:cs="Calibri"/>
                <w:b/>
                <w:sz w:val="24"/>
              </w:rPr>
              <w:t>TOTAL</w:t>
            </w:r>
          </w:p>
        </w:tc>
        <w:tc>
          <w:tcPr>
            <w:tcW w:w="1417" w:type="dxa"/>
            <w:tcBorders>
              <w:top w:val="single" w:sz="2" w:space="0" w:color="auto"/>
              <w:left w:val="single" w:sz="12" w:space="0" w:color="auto"/>
              <w:bottom w:val="single" w:sz="12" w:space="0" w:color="auto"/>
            </w:tcBorders>
            <w:shd w:val="pct5" w:color="auto" w:fill="auto"/>
          </w:tcPr>
          <w:p w:rsidR="00CD44E7" w:rsidRPr="000436B3" w:rsidRDefault="00CD44E7" w:rsidP="008E26F4">
            <w:pPr>
              <w:jc w:val="right"/>
              <w:rPr>
                <w:rFonts w:ascii="Calibri" w:hAnsi="Calibri" w:cs="Calibri"/>
                <w:b/>
                <w:sz w:val="24"/>
              </w:rPr>
            </w:pPr>
            <w:r w:rsidRPr="000436B3">
              <w:rPr>
                <w:rFonts w:ascii="Calibri" w:hAnsi="Calibri" w:cs="Calibri"/>
                <w:b/>
                <w:sz w:val="24"/>
              </w:rPr>
              <w:t>134,500 €</w:t>
            </w:r>
          </w:p>
        </w:tc>
      </w:tr>
    </w:tbl>
    <w:p w:rsidR="001E3FD9" w:rsidRDefault="001E3FD9" w:rsidP="00DC6A71">
      <w:pPr>
        <w:pStyle w:val="datumtevilka"/>
      </w:pPr>
    </w:p>
    <w:p w:rsidR="001E3FD9" w:rsidRDefault="001E3FD9">
      <w:pPr>
        <w:spacing w:line="240" w:lineRule="auto"/>
      </w:pPr>
    </w:p>
    <w:p w:rsidR="001E3FD9" w:rsidRDefault="001E3FD9">
      <w:pPr>
        <w:spacing w:line="240" w:lineRule="auto"/>
        <w:rPr>
          <w:szCs w:val="20"/>
          <w:lang w:val="sl-SI" w:eastAsia="sl-SI"/>
        </w:rPr>
      </w:pPr>
      <w:r>
        <w:rPr>
          <w:szCs w:val="20"/>
          <w:lang w:val="sl-SI" w:eastAsia="sl-SI"/>
        </w:rPr>
        <w:br w:type="page"/>
      </w:r>
    </w:p>
    <w:p w:rsidR="001E3FD9" w:rsidRPr="001E3FD9" w:rsidRDefault="008E4284" w:rsidP="00A62834">
      <w:pPr>
        <w:pStyle w:val="Naslov"/>
      </w:pPr>
      <w:r>
        <w:lastRenderedPageBreak/>
        <w:t>Work Plan Annex III</w:t>
      </w:r>
      <w:r w:rsidR="00A62834">
        <w:t xml:space="preserve"> - </w:t>
      </w:r>
      <w:r w:rsidR="001E3FD9" w:rsidRPr="001E3FD9">
        <w:rPr>
          <w:szCs w:val="20"/>
        </w:rPr>
        <w:t xml:space="preserve">Priority </w:t>
      </w:r>
      <w:r w:rsidR="001E3FD9">
        <w:rPr>
          <w:szCs w:val="20"/>
        </w:rPr>
        <w:t xml:space="preserve">1 </w:t>
      </w:r>
      <w:r w:rsidR="00A62834">
        <w:rPr>
          <w:szCs w:val="20"/>
        </w:rPr>
        <w:t>“</w:t>
      </w:r>
      <w:r w:rsidR="001E3FD9" w:rsidRPr="001E3FD9">
        <w:rPr>
          <w:szCs w:val="20"/>
        </w:rPr>
        <w:t>Preparing bilateral aspects of the programmes in t</w:t>
      </w:r>
      <w:r w:rsidR="00A62834">
        <w:rPr>
          <w:szCs w:val="20"/>
        </w:rPr>
        <w:t>H</w:t>
      </w:r>
      <w:r w:rsidR="001E3FD9" w:rsidRPr="001E3FD9">
        <w:rPr>
          <w:szCs w:val="20"/>
        </w:rPr>
        <w:t>e preparation phase (2011 and 2012)</w:t>
      </w:r>
      <w:r w:rsidR="00A62834">
        <w:rPr>
          <w:szCs w:val="20"/>
        </w:rPr>
        <w:t xml:space="preserve">” </w:t>
      </w:r>
    </w:p>
    <w:tbl>
      <w:tblPr>
        <w:tblpPr w:leftFromText="141" w:rightFromText="141" w:vertAnchor="page" w:horzAnchor="margin" w:tblpY="326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80"/>
        <w:gridCol w:w="4008"/>
        <w:gridCol w:w="1090"/>
      </w:tblGrid>
      <w:tr w:rsidR="001E3FD9" w:rsidRPr="00BD56FC" w:rsidTr="001E3FD9">
        <w:tc>
          <w:tcPr>
            <w:tcW w:w="1297" w:type="pct"/>
            <w:gridSpan w:val="2"/>
            <w:shd w:val="clear" w:color="auto" w:fill="EAF1DD" w:themeFill="accent3" w:themeFillTint="33"/>
          </w:tcPr>
          <w:p w:rsidR="001E3FD9" w:rsidRPr="008E4284" w:rsidRDefault="00A62834" w:rsidP="00A62834">
            <w:pPr>
              <w:pStyle w:val="Default"/>
              <w:jc w:val="center"/>
              <w:outlineLvl w:val="0"/>
              <w:rPr>
                <w:rFonts w:asciiTheme="minorHAnsi" w:hAnsiTheme="minorHAnsi" w:cstheme="minorHAnsi"/>
                <w:b/>
                <w:color w:val="auto"/>
                <w:sz w:val="20"/>
                <w:szCs w:val="20"/>
                <w:lang w:val="en-US"/>
              </w:rPr>
            </w:pPr>
            <w:r>
              <w:rPr>
                <w:rFonts w:asciiTheme="minorHAnsi" w:hAnsiTheme="minorHAnsi" w:cstheme="minorHAnsi"/>
                <w:b/>
                <w:color w:val="auto"/>
                <w:sz w:val="20"/>
                <w:szCs w:val="20"/>
                <w:lang w:val="en-US"/>
              </w:rPr>
              <w:t>Date of event</w:t>
            </w:r>
          </w:p>
        </w:tc>
        <w:tc>
          <w:tcPr>
            <w:tcW w:w="743" w:type="pct"/>
            <w:shd w:val="clear" w:color="auto" w:fill="EAF1DD" w:themeFill="accent3" w:themeFillTint="33"/>
          </w:tcPr>
          <w:p w:rsidR="001E3FD9" w:rsidRPr="008E4284" w:rsidRDefault="001E3FD9" w:rsidP="001E3FD9">
            <w:pPr>
              <w:pStyle w:val="Default"/>
              <w:jc w:val="center"/>
              <w:outlineLvl w:val="0"/>
              <w:rPr>
                <w:rFonts w:asciiTheme="minorHAnsi" w:hAnsiTheme="minorHAnsi" w:cstheme="minorHAnsi"/>
                <w:b/>
                <w:color w:val="auto"/>
                <w:sz w:val="20"/>
                <w:szCs w:val="20"/>
                <w:lang w:val="en-US"/>
              </w:rPr>
            </w:pPr>
            <w:r w:rsidRPr="008E4284">
              <w:rPr>
                <w:rFonts w:asciiTheme="minorHAnsi" w:hAnsiTheme="minorHAnsi" w:cstheme="minorHAnsi"/>
                <w:b/>
                <w:color w:val="auto"/>
                <w:sz w:val="20"/>
                <w:szCs w:val="20"/>
                <w:lang w:val="en-US"/>
              </w:rPr>
              <w:t>Programme</w:t>
            </w:r>
          </w:p>
        </w:tc>
        <w:tc>
          <w:tcPr>
            <w:tcW w:w="2327" w:type="pct"/>
            <w:shd w:val="clear" w:color="auto" w:fill="EAF1DD" w:themeFill="accent3" w:themeFillTint="33"/>
          </w:tcPr>
          <w:p w:rsidR="001E3FD9" w:rsidRPr="008E4284" w:rsidRDefault="001E3FD9" w:rsidP="001E3FD9">
            <w:pPr>
              <w:pStyle w:val="Default"/>
              <w:jc w:val="center"/>
              <w:outlineLvl w:val="0"/>
              <w:rPr>
                <w:rFonts w:asciiTheme="minorHAnsi" w:hAnsiTheme="minorHAnsi" w:cstheme="minorHAnsi"/>
                <w:b/>
                <w:color w:val="auto"/>
                <w:sz w:val="20"/>
                <w:szCs w:val="20"/>
                <w:lang w:val="en-US"/>
              </w:rPr>
            </w:pPr>
            <w:r w:rsidRPr="008E4284">
              <w:rPr>
                <w:rFonts w:asciiTheme="minorHAnsi" w:hAnsiTheme="minorHAnsi" w:cstheme="minorHAnsi"/>
                <w:b/>
                <w:color w:val="auto"/>
                <w:sz w:val="20"/>
                <w:szCs w:val="20"/>
                <w:lang w:val="en-US"/>
              </w:rPr>
              <w:t>Event</w:t>
            </w:r>
          </w:p>
        </w:tc>
        <w:tc>
          <w:tcPr>
            <w:tcW w:w="633" w:type="pct"/>
            <w:shd w:val="clear" w:color="auto" w:fill="EAF1DD" w:themeFill="accent3" w:themeFillTint="33"/>
          </w:tcPr>
          <w:p w:rsidR="001E3FD9" w:rsidRPr="008E4284" w:rsidRDefault="001E3FD9" w:rsidP="001E3FD9">
            <w:pPr>
              <w:pStyle w:val="Default"/>
              <w:jc w:val="center"/>
              <w:outlineLvl w:val="0"/>
              <w:rPr>
                <w:rFonts w:asciiTheme="minorHAnsi" w:hAnsiTheme="minorHAnsi" w:cstheme="minorHAnsi"/>
                <w:b/>
                <w:color w:val="auto"/>
                <w:sz w:val="20"/>
                <w:szCs w:val="20"/>
                <w:lang w:val="en-US"/>
              </w:rPr>
            </w:pPr>
            <w:r w:rsidRPr="008E4284">
              <w:rPr>
                <w:rFonts w:asciiTheme="minorHAnsi" w:hAnsiTheme="minorHAnsi" w:cstheme="minorHAnsi"/>
                <w:b/>
                <w:color w:val="auto"/>
                <w:sz w:val="20"/>
                <w:szCs w:val="20"/>
                <w:lang w:val="en-US"/>
              </w:rPr>
              <w:t>Costs</w:t>
            </w:r>
          </w:p>
        </w:tc>
      </w:tr>
      <w:tr w:rsidR="001E3FD9" w:rsidRPr="00BD56FC" w:rsidTr="001E3FD9">
        <w:tc>
          <w:tcPr>
            <w:tcW w:w="474" w:type="pct"/>
            <w:vMerge w:val="restart"/>
            <w:shd w:val="pct5" w:color="auto" w:fill="auto"/>
            <w:vAlign w:val="center"/>
          </w:tcPr>
          <w:p w:rsidR="001E3FD9" w:rsidRPr="00A62834" w:rsidRDefault="001E3FD9" w:rsidP="001E3FD9">
            <w:pPr>
              <w:pStyle w:val="Default"/>
              <w:jc w:val="center"/>
              <w:outlineLvl w:val="0"/>
              <w:rPr>
                <w:rFonts w:asciiTheme="minorHAnsi" w:hAnsiTheme="minorHAnsi" w:cstheme="minorHAnsi"/>
                <w:b/>
                <w:color w:val="auto"/>
                <w:sz w:val="20"/>
                <w:szCs w:val="20"/>
                <w:lang w:val="en-US"/>
              </w:rPr>
            </w:pPr>
            <w:r w:rsidRPr="00A62834">
              <w:rPr>
                <w:rFonts w:asciiTheme="minorHAnsi" w:hAnsiTheme="minorHAnsi" w:cstheme="minorHAnsi"/>
                <w:b/>
                <w:color w:val="auto"/>
                <w:sz w:val="20"/>
                <w:szCs w:val="20"/>
                <w:lang w:val="en-US"/>
              </w:rPr>
              <w:t>2011</w:t>
            </w:r>
          </w:p>
        </w:tc>
        <w:tc>
          <w:tcPr>
            <w:tcW w:w="82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5.6. – 6. 6. 2011</w:t>
            </w:r>
          </w:p>
        </w:tc>
        <w:tc>
          <w:tcPr>
            <w:tcW w:w="74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SI02</w:t>
            </w:r>
          </w:p>
        </w:tc>
        <w:tc>
          <w:tcPr>
            <w:tcW w:w="2327"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 xml:space="preserve">Study trip of the </w:t>
            </w:r>
            <w:r w:rsidRPr="008E4284">
              <w:rPr>
                <w:rFonts w:asciiTheme="minorHAnsi" w:hAnsiTheme="minorHAnsi" w:cstheme="minorHAnsi"/>
                <w:sz w:val="20"/>
                <w:szCs w:val="20"/>
              </w:rPr>
              <w:t xml:space="preserve"> </w:t>
            </w:r>
            <w:r w:rsidRPr="008E4284">
              <w:rPr>
                <w:rFonts w:asciiTheme="minorHAnsi" w:hAnsiTheme="minorHAnsi" w:cstheme="minorHAnsi"/>
                <w:color w:val="auto"/>
                <w:sz w:val="20"/>
                <w:szCs w:val="20"/>
                <w:lang w:val="en-US"/>
              </w:rPr>
              <w:t>Surveying and Mapping Authority of the Republic of Slovenia to Norway to meet pre-defined project partner</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880 €</w:t>
            </w:r>
          </w:p>
        </w:tc>
      </w:tr>
      <w:tr w:rsidR="001E3FD9" w:rsidRPr="00BD56FC" w:rsidTr="001E3FD9">
        <w:tc>
          <w:tcPr>
            <w:tcW w:w="474" w:type="pct"/>
            <w:vMerge/>
            <w:tcBorders>
              <w:bottom w:val="single" w:sz="4" w:space="0" w:color="auto"/>
            </w:tcBorders>
            <w:shd w:val="pct5" w:color="auto" w:fill="auto"/>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p>
        </w:tc>
        <w:tc>
          <w:tcPr>
            <w:tcW w:w="823" w:type="pct"/>
            <w:tcBorders>
              <w:bottom w:val="single" w:sz="4" w:space="0" w:color="auto"/>
            </w:tcBorders>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4.12. – 8.12</w:t>
            </w:r>
          </w:p>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2011</w:t>
            </w:r>
          </w:p>
        </w:tc>
        <w:tc>
          <w:tcPr>
            <w:tcW w:w="743" w:type="pct"/>
            <w:tcBorders>
              <w:bottom w:val="single" w:sz="4" w:space="0" w:color="auto"/>
            </w:tcBorders>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SI05</w:t>
            </w:r>
          </w:p>
        </w:tc>
        <w:tc>
          <w:tcPr>
            <w:tcW w:w="2327" w:type="pct"/>
            <w:tcBorders>
              <w:bottom w:val="single" w:sz="4" w:space="0" w:color="auto"/>
            </w:tcBorders>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Representatives of the former Office for equal opportunities attended meeting with the future pre-defined project partner</w:t>
            </w:r>
          </w:p>
        </w:tc>
        <w:tc>
          <w:tcPr>
            <w:tcW w:w="633" w:type="pct"/>
            <w:tcBorders>
              <w:bottom w:val="single" w:sz="4" w:space="0" w:color="auto"/>
            </w:tcBorders>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1,634 €</w:t>
            </w:r>
          </w:p>
        </w:tc>
      </w:tr>
      <w:tr w:rsidR="001E3FD9" w:rsidRPr="00BD56FC" w:rsidTr="001E3FD9">
        <w:tc>
          <w:tcPr>
            <w:tcW w:w="4367" w:type="pct"/>
            <w:gridSpan w:val="4"/>
            <w:shd w:val="clear" w:color="auto" w:fill="EAF1DD" w:themeFill="accent3" w:themeFillTint="33"/>
          </w:tcPr>
          <w:p w:rsidR="001E3FD9" w:rsidRPr="00016283" w:rsidRDefault="001E3FD9" w:rsidP="001E3FD9">
            <w:pPr>
              <w:pStyle w:val="Default"/>
              <w:jc w:val="right"/>
              <w:outlineLvl w:val="0"/>
              <w:rPr>
                <w:rFonts w:asciiTheme="minorHAnsi" w:hAnsiTheme="minorHAnsi" w:cstheme="minorHAnsi"/>
                <w:b/>
                <w:bCs/>
                <w:color w:val="auto"/>
                <w:sz w:val="22"/>
                <w:szCs w:val="22"/>
                <w:lang w:val="en-US"/>
              </w:rPr>
            </w:pPr>
            <w:r w:rsidRPr="00016283">
              <w:rPr>
                <w:rFonts w:asciiTheme="minorHAnsi" w:hAnsiTheme="minorHAnsi" w:cstheme="minorHAnsi"/>
                <w:b/>
                <w:bCs/>
                <w:color w:val="auto"/>
                <w:sz w:val="22"/>
                <w:szCs w:val="22"/>
                <w:lang w:val="en-US"/>
              </w:rPr>
              <w:t>2011 TOTAL</w:t>
            </w:r>
          </w:p>
        </w:tc>
        <w:tc>
          <w:tcPr>
            <w:tcW w:w="633" w:type="pct"/>
            <w:shd w:val="clear" w:color="auto" w:fill="EAF1DD" w:themeFill="accent3" w:themeFillTint="33"/>
            <w:vAlign w:val="center"/>
          </w:tcPr>
          <w:p w:rsidR="001E3FD9" w:rsidRPr="00016283" w:rsidRDefault="001E3FD9" w:rsidP="001E3FD9">
            <w:pPr>
              <w:pStyle w:val="Default"/>
              <w:jc w:val="center"/>
              <w:outlineLvl w:val="0"/>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 xml:space="preserve">2,514 </w:t>
            </w:r>
            <w:r w:rsidRPr="00016283">
              <w:rPr>
                <w:rFonts w:asciiTheme="minorHAnsi" w:hAnsiTheme="minorHAnsi" w:cstheme="minorHAnsi"/>
                <w:b/>
                <w:bCs/>
                <w:color w:val="auto"/>
                <w:sz w:val="22"/>
                <w:szCs w:val="22"/>
                <w:lang w:val="en-US"/>
              </w:rPr>
              <w:t>€</w:t>
            </w:r>
          </w:p>
        </w:tc>
      </w:tr>
      <w:tr w:rsidR="001E3FD9" w:rsidRPr="00BD56FC" w:rsidTr="001E3FD9">
        <w:tc>
          <w:tcPr>
            <w:tcW w:w="474" w:type="pct"/>
            <w:vMerge w:val="restart"/>
            <w:shd w:val="pct5" w:color="auto" w:fill="auto"/>
            <w:vAlign w:val="center"/>
          </w:tcPr>
          <w:p w:rsidR="001E3FD9" w:rsidRPr="00A62834" w:rsidRDefault="001E3FD9" w:rsidP="001E3FD9">
            <w:pPr>
              <w:pStyle w:val="Default"/>
              <w:jc w:val="center"/>
              <w:outlineLvl w:val="0"/>
              <w:rPr>
                <w:rFonts w:asciiTheme="minorHAnsi" w:hAnsiTheme="minorHAnsi" w:cstheme="minorHAnsi"/>
                <w:b/>
                <w:color w:val="auto"/>
                <w:sz w:val="20"/>
                <w:szCs w:val="20"/>
                <w:lang w:val="en-US"/>
              </w:rPr>
            </w:pPr>
            <w:r w:rsidRPr="00A62834">
              <w:rPr>
                <w:rFonts w:asciiTheme="minorHAnsi" w:hAnsiTheme="minorHAnsi" w:cstheme="minorHAnsi"/>
                <w:b/>
                <w:color w:val="auto"/>
                <w:sz w:val="20"/>
                <w:szCs w:val="20"/>
                <w:lang w:val="en-US"/>
              </w:rPr>
              <w:t>2012</w:t>
            </w:r>
          </w:p>
        </w:tc>
        <w:tc>
          <w:tcPr>
            <w:tcW w:w="82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31.1.</w:t>
            </w:r>
            <w:r w:rsidR="00A62834">
              <w:rPr>
                <w:rFonts w:asciiTheme="minorHAnsi" w:hAnsiTheme="minorHAnsi" w:cstheme="minorHAnsi"/>
                <w:color w:val="auto"/>
                <w:sz w:val="20"/>
                <w:szCs w:val="20"/>
                <w:lang w:val="en-US"/>
              </w:rPr>
              <w:t xml:space="preserve"> </w:t>
            </w:r>
            <w:r w:rsidR="00A62834" w:rsidRPr="008E4284">
              <w:rPr>
                <w:rFonts w:asciiTheme="minorHAnsi" w:hAnsiTheme="minorHAnsi" w:cstheme="minorHAnsi"/>
                <w:color w:val="auto"/>
                <w:sz w:val="20"/>
                <w:szCs w:val="20"/>
                <w:lang w:val="en-US"/>
              </w:rPr>
              <w:t xml:space="preserve">– </w:t>
            </w:r>
            <w:r w:rsidRPr="008E4284">
              <w:rPr>
                <w:rFonts w:asciiTheme="minorHAnsi" w:hAnsiTheme="minorHAnsi" w:cstheme="minorHAnsi"/>
                <w:color w:val="auto"/>
                <w:sz w:val="20"/>
                <w:szCs w:val="20"/>
                <w:lang w:val="en-US"/>
              </w:rPr>
              <w:t>3.2.</w:t>
            </w:r>
          </w:p>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SI05</w:t>
            </w:r>
          </w:p>
        </w:tc>
        <w:tc>
          <w:tcPr>
            <w:tcW w:w="2327"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Members of the working group for the preparation and implementation of the SI05 programme visited Oslo – programme partners and field visit to key institutions in Norway in the field of public health and equal opportunities.</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11,026 €</w:t>
            </w:r>
          </w:p>
        </w:tc>
      </w:tr>
      <w:tr w:rsidR="001E3FD9" w:rsidRPr="00BD56FC" w:rsidTr="001E3FD9">
        <w:tc>
          <w:tcPr>
            <w:tcW w:w="474" w:type="pct"/>
            <w:vMerge/>
            <w:shd w:val="pct5" w:color="auto" w:fill="auto"/>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p>
        </w:tc>
        <w:tc>
          <w:tcPr>
            <w:tcW w:w="82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1.2. – 2.2.</w:t>
            </w:r>
          </w:p>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SI02 and SI05</w:t>
            </w:r>
          </w:p>
        </w:tc>
        <w:tc>
          <w:tcPr>
            <w:tcW w:w="2327"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Representatives of the Ministry of culture and Ministry of environment attended a meeting at FMO in Brussels to discuss the first programme proposals and FMO comments.</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1111 €</w:t>
            </w:r>
          </w:p>
        </w:tc>
      </w:tr>
      <w:tr w:rsidR="001E3FD9" w:rsidRPr="00BD56FC" w:rsidTr="001E3FD9">
        <w:tc>
          <w:tcPr>
            <w:tcW w:w="474" w:type="pct"/>
            <w:vMerge/>
            <w:shd w:val="pct5" w:color="auto" w:fill="auto"/>
          </w:tcPr>
          <w:p w:rsidR="001E3FD9" w:rsidRPr="008E4284" w:rsidRDefault="001E3FD9" w:rsidP="001E3FD9">
            <w:pPr>
              <w:pStyle w:val="Default"/>
              <w:jc w:val="both"/>
              <w:outlineLvl w:val="0"/>
              <w:rPr>
                <w:rFonts w:asciiTheme="minorHAnsi" w:hAnsiTheme="minorHAnsi" w:cstheme="minorHAnsi"/>
                <w:color w:val="auto"/>
                <w:sz w:val="20"/>
                <w:szCs w:val="20"/>
                <w:lang w:val="en-US"/>
              </w:rPr>
            </w:pPr>
          </w:p>
        </w:tc>
        <w:tc>
          <w:tcPr>
            <w:tcW w:w="82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12. 9.–13.9</w:t>
            </w:r>
          </w:p>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NFP</w:t>
            </w:r>
          </w:p>
        </w:tc>
        <w:tc>
          <w:tcPr>
            <w:tcW w:w="2327" w:type="pct"/>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Attendance at the Risk Management and Good Governance Seminar in Sofia</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946 €</w:t>
            </w:r>
          </w:p>
        </w:tc>
      </w:tr>
      <w:tr w:rsidR="001E3FD9" w:rsidRPr="00BD56FC" w:rsidTr="001E3FD9">
        <w:tc>
          <w:tcPr>
            <w:tcW w:w="474" w:type="pct"/>
            <w:vMerge/>
            <w:shd w:val="pct5" w:color="auto" w:fill="auto"/>
          </w:tcPr>
          <w:p w:rsidR="001E3FD9" w:rsidRPr="008E4284" w:rsidRDefault="001E3FD9" w:rsidP="001E3FD9">
            <w:pPr>
              <w:pStyle w:val="Default"/>
              <w:jc w:val="both"/>
              <w:outlineLvl w:val="0"/>
              <w:rPr>
                <w:rFonts w:asciiTheme="minorHAnsi" w:hAnsiTheme="minorHAnsi" w:cstheme="minorHAnsi"/>
                <w:color w:val="auto"/>
                <w:sz w:val="20"/>
                <w:szCs w:val="20"/>
                <w:lang w:val="en-US"/>
              </w:rPr>
            </w:pPr>
          </w:p>
        </w:tc>
        <w:tc>
          <w:tcPr>
            <w:tcW w:w="82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10.10.</w:t>
            </w:r>
            <w:r w:rsidR="00A62834" w:rsidRPr="008E4284">
              <w:rPr>
                <w:rFonts w:asciiTheme="minorHAnsi" w:hAnsiTheme="minorHAnsi" w:cstheme="minorHAnsi"/>
                <w:color w:val="auto"/>
                <w:sz w:val="20"/>
                <w:szCs w:val="20"/>
                <w:lang w:val="en-US"/>
              </w:rPr>
              <w:t xml:space="preserve">– </w:t>
            </w:r>
            <w:r w:rsidRPr="008E4284">
              <w:rPr>
                <w:rFonts w:asciiTheme="minorHAnsi" w:hAnsiTheme="minorHAnsi" w:cstheme="minorHAnsi"/>
                <w:color w:val="auto"/>
                <w:sz w:val="20"/>
                <w:szCs w:val="20"/>
                <w:lang w:val="en-US"/>
              </w:rPr>
              <w:t>12.10.</w:t>
            </w:r>
          </w:p>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SI02</w:t>
            </w:r>
          </w:p>
        </w:tc>
        <w:tc>
          <w:tcPr>
            <w:tcW w:w="2327" w:type="pct"/>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sz w:val="20"/>
                <w:szCs w:val="20"/>
              </w:rPr>
              <w:t>Conference EEA Grants for the Culture and Heritage sectors in Oslo (2 representatives</w:t>
            </w:r>
            <w:r w:rsidRPr="008E4284">
              <w:rPr>
                <w:rFonts w:asciiTheme="minorHAnsi" w:hAnsiTheme="minorHAnsi" w:cstheme="minorHAnsi"/>
                <w:sz w:val="20"/>
                <w:szCs w:val="20"/>
                <w:lang w:val="sl-SI"/>
              </w:rPr>
              <w:t xml:space="preserve"> -</w:t>
            </w:r>
            <w:r w:rsidRPr="008E4284">
              <w:rPr>
                <w:rFonts w:asciiTheme="minorHAnsi" w:hAnsiTheme="minorHAnsi" w:cstheme="minorHAnsi"/>
                <w:sz w:val="20"/>
                <w:szCs w:val="20"/>
              </w:rPr>
              <w:t xml:space="preserve"> PO and working group)</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1,748 €</w:t>
            </w:r>
          </w:p>
        </w:tc>
      </w:tr>
      <w:tr w:rsidR="001E3FD9" w:rsidRPr="00BD56FC" w:rsidTr="001E3FD9">
        <w:tc>
          <w:tcPr>
            <w:tcW w:w="474" w:type="pct"/>
            <w:vMerge/>
            <w:shd w:val="pct5" w:color="auto" w:fill="auto"/>
          </w:tcPr>
          <w:p w:rsidR="001E3FD9" w:rsidRPr="008E4284" w:rsidRDefault="001E3FD9" w:rsidP="001E3FD9">
            <w:pPr>
              <w:pStyle w:val="Default"/>
              <w:jc w:val="both"/>
              <w:outlineLvl w:val="0"/>
              <w:rPr>
                <w:rFonts w:asciiTheme="minorHAnsi" w:hAnsiTheme="minorHAnsi" w:cstheme="minorHAnsi"/>
                <w:color w:val="auto"/>
                <w:sz w:val="20"/>
                <w:szCs w:val="20"/>
                <w:lang w:val="en-US"/>
              </w:rPr>
            </w:pPr>
          </w:p>
        </w:tc>
        <w:tc>
          <w:tcPr>
            <w:tcW w:w="823" w:type="pct"/>
            <w:vAlign w:val="center"/>
          </w:tcPr>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6.11.</w:t>
            </w:r>
            <w:r w:rsidR="00A62834" w:rsidRPr="008E4284">
              <w:rPr>
                <w:rFonts w:asciiTheme="minorHAnsi" w:hAnsiTheme="minorHAnsi" w:cstheme="minorHAnsi"/>
                <w:color w:val="auto"/>
                <w:sz w:val="20"/>
                <w:szCs w:val="20"/>
                <w:lang w:val="en-US"/>
              </w:rPr>
              <w:t xml:space="preserve">– </w:t>
            </w:r>
            <w:r w:rsidRPr="008E4284">
              <w:rPr>
                <w:rFonts w:ascii="Calibri" w:hAnsi="Calibri" w:cs="Calibri"/>
                <w:color w:val="auto"/>
                <w:sz w:val="20"/>
                <w:szCs w:val="20"/>
                <w:lang w:val="en-US"/>
              </w:rPr>
              <w:t>8.11.</w:t>
            </w:r>
          </w:p>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SI02</w:t>
            </w:r>
          </w:p>
        </w:tc>
        <w:tc>
          <w:tcPr>
            <w:tcW w:w="2327" w:type="pct"/>
          </w:tcPr>
          <w:p w:rsidR="001E3FD9" w:rsidRPr="008E4284" w:rsidRDefault="001E3FD9" w:rsidP="001E3FD9">
            <w:pPr>
              <w:pStyle w:val="Default"/>
              <w:jc w:val="center"/>
              <w:outlineLvl w:val="0"/>
              <w:rPr>
                <w:rFonts w:ascii="Calibri" w:hAnsi="Calibri" w:cs="Calibri"/>
                <w:color w:val="auto"/>
                <w:sz w:val="20"/>
                <w:szCs w:val="20"/>
                <w:lang w:val="en-GB"/>
              </w:rPr>
            </w:pPr>
            <w:r w:rsidRPr="008E4284">
              <w:rPr>
                <w:rFonts w:ascii="Calibri" w:hAnsi="Calibri" w:cs="Calibri"/>
                <w:color w:val="auto"/>
                <w:sz w:val="20"/>
                <w:szCs w:val="20"/>
                <w:lang w:val="en-GB"/>
              </w:rPr>
              <w:t xml:space="preserve">Kick-off conference for the environmental programmes under the EEA Grants in Oslo on 7 November 2012 </w:t>
            </w:r>
            <w:r w:rsidRPr="008E4284">
              <w:rPr>
                <w:rFonts w:asciiTheme="minorHAnsi" w:hAnsiTheme="minorHAnsi" w:cstheme="minorHAnsi"/>
                <w:sz w:val="20"/>
                <w:szCs w:val="20"/>
              </w:rPr>
              <w:t>(2 representatives</w:t>
            </w:r>
            <w:r w:rsidRPr="008E4284">
              <w:rPr>
                <w:rFonts w:asciiTheme="minorHAnsi" w:hAnsiTheme="minorHAnsi" w:cstheme="minorHAnsi"/>
                <w:sz w:val="20"/>
                <w:szCs w:val="20"/>
                <w:lang w:val="sl-SI"/>
              </w:rPr>
              <w:t xml:space="preserve"> -</w:t>
            </w:r>
            <w:r w:rsidRPr="008E4284">
              <w:rPr>
                <w:rFonts w:asciiTheme="minorHAnsi" w:hAnsiTheme="minorHAnsi" w:cstheme="minorHAnsi"/>
                <w:sz w:val="20"/>
                <w:szCs w:val="20"/>
              </w:rPr>
              <w:t xml:space="preserve"> PO and working group)</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1,441 €</w:t>
            </w:r>
          </w:p>
        </w:tc>
      </w:tr>
      <w:tr w:rsidR="001E3FD9" w:rsidRPr="00BD56FC" w:rsidTr="001E3FD9">
        <w:tc>
          <w:tcPr>
            <w:tcW w:w="474" w:type="pct"/>
            <w:vMerge/>
            <w:shd w:val="pct5" w:color="auto" w:fill="auto"/>
          </w:tcPr>
          <w:p w:rsidR="001E3FD9" w:rsidRPr="008E4284" w:rsidRDefault="001E3FD9" w:rsidP="001E3FD9">
            <w:pPr>
              <w:pStyle w:val="Default"/>
              <w:jc w:val="both"/>
              <w:outlineLvl w:val="0"/>
              <w:rPr>
                <w:rFonts w:asciiTheme="minorHAnsi" w:hAnsiTheme="minorHAnsi" w:cstheme="minorHAnsi"/>
                <w:color w:val="auto"/>
                <w:sz w:val="20"/>
                <w:szCs w:val="20"/>
                <w:lang w:val="en-US"/>
              </w:rPr>
            </w:pPr>
          </w:p>
        </w:tc>
        <w:tc>
          <w:tcPr>
            <w:tcW w:w="823" w:type="pct"/>
            <w:vAlign w:val="center"/>
          </w:tcPr>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12.11.</w:t>
            </w:r>
            <w:r w:rsidR="00A62834" w:rsidRPr="008E4284">
              <w:rPr>
                <w:rFonts w:asciiTheme="minorHAnsi" w:hAnsiTheme="minorHAnsi" w:cstheme="minorHAnsi"/>
                <w:color w:val="auto"/>
                <w:sz w:val="20"/>
                <w:szCs w:val="20"/>
                <w:lang w:val="en-US"/>
              </w:rPr>
              <w:t xml:space="preserve">– </w:t>
            </w:r>
            <w:r w:rsidRPr="008E4284">
              <w:rPr>
                <w:rFonts w:ascii="Calibri" w:hAnsi="Calibri" w:cs="Calibri"/>
                <w:color w:val="auto"/>
                <w:sz w:val="20"/>
                <w:szCs w:val="20"/>
                <w:lang w:val="en-US"/>
              </w:rPr>
              <w:t>13.11</w:t>
            </w:r>
          </w:p>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2012</w:t>
            </w:r>
          </w:p>
        </w:tc>
        <w:tc>
          <w:tcPr>
            <w:tcW w:w="743" w:type="pct"/>
            <w:vAlign w:val="center"/>
          </w:tcPr>
          <w:p w:rsidR="001E3FD9" w:rsidRPr="008E4284" w:rsidRDefault="001E3FD9" w:rsidP="001E3FD9">
            <w:pPr>
              <w:pStyle w:val="Default"/>
              <w:jc w:val="center"/>
              <w:outlineLvl w:val="0"/>
              <w:rPr>
                <w:rFonts w:ascii="Calibri" w:hAnsi="Calibri" w:cs="Calibri"/>
                <w:color w:val="auto"/>
                <w:sz w:val="20"/>
                <w:szCs w:val="20"/>
                <w:lang w:val="en-US"/>
              </w:rPr>
            </w:pPr>
            <w:r w:rsidRPr="008E4284">
              <w:rPr>
                <w:rFonts w:ascii="Calibri" w:hAnsi="Calibri" w:cs="Calibri"/>
                <w:color w:val="auto"/>
                <w:sz w:val="20"/>
                <w:szCs w:val="20"/>
                <w:lang w:val="en-US"/>
              </w:rPr>
              <w:t>NFP</w:t>
            </w:r>
          </w:p>
        </w:tc>
        <w:tc>
          <w:tcPr>
            <w:tcW w:w="2327" w:type="pct"/>
          </w:tcPr>
          <w:p w:rsidR="001E3FD9" w:rsidRPr="008E4284" w:rsidRDefault="001E3FD9" w:rsidP="001E3FD9">
            <w:pPr>
              <w:pStyle w:val="Default"/>
              <w:jc w:val="center"/>
              <w:outlineLvl w:val="0"/>
              <w:rPr>
                <w:rFonts w:ascii="Calibri" w:hAnsi="Calibri" w:cs="Calibri"/>
                <w:color w:val="auto"/>
                <w:sz w:val="20"/>
                <w:szCs w:val="20"/>
                <w:lang w:val="en-GB"/>
              </w:rPr>
            </w:pPr>
            <w:r w:rsidRPr="008E4284">
              <w:rPr>
                <w:rFonts w:ascii="Calibri" w:hAnsi="Calibri" w:cs="Calibri"/>
                <w:color w:val="auto"/>
                <w:sz w:val="20"/>
                <w:szCs w:val="20"/>
                <w:lang w:val="en-GB"/>
              </w:rPr>
              <w:t>WS in Bratislava – training in reporting and in results and risk management</w:t>
            </w:r>
          </w:p>
        </w:tc>
        <w:tc>
          <w:tcPr>
            <w:tcW w:w="633" w:type="pct"/>
            <w:vAlign w:val="center"/>
          </w:tcPr>
          <w:p w:rsidR="001E3FD9" w:rsidRPr="008E4284" w:rsidRDefault="001E3FD9" w:rsidP="001E3FD9">
            <w:pPr>
              <w:pStyle w:val="Default"/>
              <w:jc w:val="center"/>
              <w:outlineLvl w:val="0"/>
              <w:rPr>
                <w:rFonts w:asciiTheme="minorHAnsi" w:hAnsiTheme="minorHAnsi" w:cstheme="minorHAnsi"/>
                <w:color w:val="auto"/>
                <w:sz w:val="20"/>
                <w:szCs w:val="20"/>
                <w:lang w:val="en-US"/>
              </w:rPr>
            </w:pPr>
            <w:r w:rsidRPr="008E4284">
              <w:rPr>
                <w:rFonts w:asciiTheme="minorHAnsi" w:hAnsiTheme="minorHAnsi" w:cstheme="minorHAnsi"/>
                <w:color w:val="auto"/>
                <w:sz w:val="20"/>
                <w:szCs w:val="20"/>
                <w:lang w:val="en-US"/>
              </w:rPr>
              <w:t>650 €</w:t>
            </w:r>
          </w:p>
        </w:tc>
      </w:tr>
      <w:tr w:rsidR="001E3FD9" w:rsidRPr="00BD56FC" w:rsidTr="001E3FD9">
        <w:tc>
          <w:tcPr>
            <w:tcW w:w="4367" w:type="pct"/>
            <w:gridSpan w:val="4"/>
            <w:tcBorders>
              <w:bottom w:val="single" w:sz="4" w:space="0" w:color="auto"/>
            </w:tcBorders>
            <w:shd w:val="clear" w:color="auto" w:fill="EAF1DD" w:themeFill="accent3" w:themeFillTint="33"/>
          </w:tcPr>
          <w:p w:rsidR="001E3FD9" w:rsidRPr="00016283" w:rsidRDefault="001E3FD9" w:rsidP="001E3FD9">
            <w:pPr>
              <w:pStyle w:val="Default"/>
              <w:jc w:val="right"/>
              <w:outlineLvl w:val="0"/>
              <w:rPr>
                <w:rFonts w:asciiTheme="minorHAnsi" w:hAnsiTheme="minorHAnsi" w:cstheme="minorHAnsi"/>
                <w:b/>
                <w:bCs/>
                <w:color w:val="auto"/>
                <w:sz w:val="22"/>
                <w:szCs w:val="22"/>
                <w:lang w:val="en-US"/>
              </w:rPr>
            </w:pPr>
            <w:r w:rsidRPr="00016283">
              <w:rPr>
                <w:rFonts w:asciiTheme="minorHAnsi" w:hAnsiTheme="minorHAnsi" w:cstheme="minorHAnsi"/>
                <w:b/>
                <w:bCs/>
                <w:color w:val="auto"/>
                <w:sz w:val="22"/>
                <w:szCs w:val="22"/>
                <w:lang w:val="en-US"/>
              </w:rPr>
              <w:t>2012 TOTAL</w:t>
            </w:r>
          </w:p>
        </w:tc>
        <w:tc>
          <w:tcPr>
            <w:tcW w:w="633" w:type="pct"/>
            <w:tcBorders>
              <w:bottom w:val="single" w:sz="4" w:space="0" w:color="auto"/>
            </w:tcBorders>
            <w:shd w:val="clear" w:color="auto" w:fill="EAF1DD" w:themeFill="accent3" w:themeFillTint="33"/>
          </w:tcPr>
          <w:p w:rsidR="001E3FD9" w:rsidRPr="00016283" w:rsidRDefault="001E3FD9" w:rsidP="001E3FD9">
            <w:pPr>
              <w:pStyle w:val="Default"/>
              <w:jc w:val="right"/>
              <w:outlineLvl w:val="0"/>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 xml:space="preserve">16,922 </w:t>
            </w:r>
            <w:r w:rsidRPr="00016283">
              <w:rPr>
                <w:rFonts w:asciiTheme="minorHAnsi" w:hAnsiTheme="minorHAnsi" w:cstheme="minorHAnsi"/>
                <w:b/>
                <w:bCs/>
                <w:color w:val="auto"/>
                <w:sz w:val="22"/>
                <w:szCs w:val="22"/>
                <w:lang w:val="en-US"/>
              </w:rPr>
              <w:t>€</w:t>
            </w:r>
          </w:p>
        </w:tc>
      </w:tr>
      <w:tr w:rsidR="001E3FD9" w:rsidRPr="00BD56FC" w:rsidTr="001E3FD9">
        <w:tc>
          <w:tcPr>
            <w:tcW w:w="4367" w:type="pct"/>
            <w:gridSpan w:val="4"/>
            <w:shd w:val="clear" w:color="auto" w:fill="D6E3BC" w:themeFill="accent3" w:themeFillTint="66"/>
          </w:tcPr>
          <w:p w:rsidR="001E3FD9" w:rsidRPr="00016283" w:rsidRDefault="001E3FD9" w:rsidP="001E3FD9">
            <w:pPr>
              <w:pStyle w:val="Default"/>
              <w:outlineLvl w:val="0"/>
              <w:rPr>
                <w:rFonts w:ascii="Calibri" w:hAnsi="Calibri" w:cs="Calibri"/>
                <w:b/>
                <w:bCs/>
                <w:color w:val="auto"/>
                <w:lang w:val="en-US"/>
              </w:rPr>
            </w:pPr>
            <w:r w:rsidRPr="00016283">
              <w:rPr>
                <w:rFonts w:ascii="Calibri" w:hAnsi="Calibri" w:cs="Calibri"/>
                <w:b/>
                <w:bCs/>
                <w:color w:val="auto"/>
                <w:lang w:val="en-US"/>
              </w:rPr>
              <w:t>TOTAL</w:t>
            </w:r>
          </w:p>
        </w:tc>
        <w:tc>
          <w:tcPr>
            <w:tcW w:w="633" w:type="pct"/>
            <w:shd w:val="clear" w:color="auto" w:fill="D6E3BC" w:themeFill="accent3" w:themeFillTint="66"/>
          </w:tcPr>
          <w:p w:rsidR="001E3FD9" w:rsidRPr="00016283" w:rsidRDefault="001E3FD9" w:rsidP="001E3FD9">
            <w:pPr>
              <w:pStyle w:val="Default"/>
              <w:jc w:val="center"/>
              <w:outlineLvl w:val="0"/>
              <w:rPr>
                <w:rFonts w:ascii="Calibri" w:hAnsi="Calibri" w:cs="Calibri"/>
                <w:b/>
                <w:bCs/>
                <w:color w:val="auto"/>
                <w:lang w:val="en-US"/>
              </w:rPr>
            </w:pPr>
            <w:r>
              <w:rPr>
                <w:rFonts w:ascii="Calibri" w:hAnsi="Calibri" w:cs="Calibri"/>
                <w:b/>
                <w:bCs/>
                <w:color w:val="auto"/>
                <w:lang w:val="en-US"/>
              </w:rPr>
              <w:t>19,436</w:t>
            </w:r>
            <w:r w:rsidRPr="00016283">
              <w:rPr>
                <w:rFonts w:ascii="Calibri" w:hAnsi="Calibri" w:cs="Calibri"/>
                <w:b/>
                <w:bCs/>
                <w:color w:val="auto"/>
                <w:lang w:val="en-US"/>
              </w:rPr>
              <w:t xml:space="preserve"> €</w:t>
            </w:r>
          </w:p>
        </w:tc>
      </w:tr>
    </w:tbl>
    <w:p w:rsidR="007544E5" w:rsidRDefault="007544E5" w:rsidP="00A62834">
      <w:pPr>
        <w:pStyle w:val="datumtevilka"/>
      </w:pPr>
    </w:p>
    <w:sectPr w:rsidR="007544E5" w:rsidSect="00D6541B">
      <w:headerReference w:type="default" r:id="rId11"/>
      <w:footerReference w:type="default" r:id="rId12"/>
      <w:headerReference w:type="first" r:id="rId13"/>
      <w:pgSz w:w="11900" w:h="16840" w:code="9"/>
      <w:pgMar w:top="1701" w:right="1701" w:bottom="1134" w:left="1701" w:header="85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E3" w:rsidRDefault="004B38E3">
      <w:r>
        <w:separator/>
      </w:r>
    </w:p>
  </w:endnote>
  <w:endnote w:type="continuationSeparator" w:id="0">
    <w:p w:rsidR="004B38E3" w:rsidRDefault="004B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0000000000000000000"/>
    <w:charset w:val="00"/>
    <w:family w:val="modern"/>
    <w:notTrueType/>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97074"/>
      <w:docPartObj>
        <w:docPartGallery w:val="Page Numbers (Bottom of Page)"/>
        <w:docPartUnique/>
      </w:docPartObj>
    </w:sdtPr>
    <w:sdtEndPr/>
    <w:sdtContent>
      <w:p w:rsidR="004B3178" w:rsidRDefault="004B3178">
        <w:pPr>
          <w:pStyle w:val="Noga"/>
          <w:jc w:val="center"/>
        </w:pPr>
        <w:r>
          <w:fldChar w:fldCharType="begin"/>
        </w:r>
        <w:r>
          <w:instrText>PAGE   \* MERGEFORMAT</w:instrText>
        </w:r>
        <w:r>
          <w:fldChar w:fldCharType="separate"/>
        </w:r>
        <w:r w:rsidR="00ED2633" w:rsidRPr="00ED2633">
          <w:rPr>
            <w:noProof/>
            <w:lang w:val="sl-SI"/>
          </w:rPr>
          <w:t>11</w:t>
        </w:r>
        <w:r>
          <w:fldChar w:fldCharType="end"/>
        </w:r>
      </w:p>
    </w:sdtContent>
  </w:sdt>
  <w:p w:rsidR="002057F2" w:rsidRPr="004B3178" w:rsidRDefault="002057F2" w:rsidP="004B3178">
    <w:pPr>
      <w:pStyle w:val="Noga"/>
      <w:jc w:val="cen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E3" w:rsidRDefault="004B38E3">
      <w:r>
        <w:separator/>
      </w:r>
    </w:p>
  </w:footnote>
  <w:footnote w:type="continuationSeparator" w:id="0">
    <w:p w:rsidR="004B38E3" w:rsidRDefault="004B38E3">
      <w:r>
        <w:continuationSeparator/>
      </w:r>
    </w:p>
  </w:footnote>
  <w:footnote w:id="1">
    <w:p w:rsidR="000867A4" w:rsidRPr="00CD44E7" w:rsidRDefault="000867A4" w:rsidP="00CD44E7">
      <w:pPr>
        <w:pStyle w:val="Sprotnaopomba-besedilo"/>
        <w:jc w:val="both"/>
        <w:rPr>
          <w:lang w:val="sl-SI"/>
        </w:rPr>
      </w:pPr>
      <w:r>
        <w:rPr>
          <w:rStyle w:val="Sprotnaopomba-sklic"/>
        </w:rPr>
        <w:footnoteRef/>
      </w:r>
      <w:r>
        <w:t xml:space="preserve"> </w:t>
      </w:r>
      <w:r w:rsidRPr="00CD44E7">
        <w:rPr>
          <w:rFonts w:asciiTheme="minorHAnsi" w:hAnsiTheme="minorHAnsi" w:cstheme="minorHAnsi"/>
          <w:sz w:val="18"/>
          <w:szCs w:val="18"/>
        </w:rPr>
        <w:t>The budget broken down by years is indicative only to allow more flexibility in the implementation phase, when discussions and agreements between Slovenian and donors' stakeholders will be finalized.</w:t>
      </w:r>
    </w:p>
  </w:footnote>
  <w:footnote w:id="2">
    <w:p w:rsidR="000867A4" w:rsidRPr="00CD44E7" w:rsidRDefault="000867A4" w:rsidP="00CF0924">
      <w:pPr>
        <w:pStyle w:val="Sprotnaopomba-besedilo"/>
        <w:jc w:val="both"/>
        <w:rPr>
          <w:lang w:val="sl-SI"/>
        </w:rPr>
      </w:pPr>
      <w:r>
        <w:rPr>
          <w:rStyle w:val="Sprotnaopomba-sklic"/>
        </w:rPr>
        <w:footnoteRef/>
      </w:r>
      <w:r>
        <w:t xml:space="preserve"> </w:t>
      </w:r>
      <w:r w:rsidRPr="00CD44E7">
        <w:rPr>
          <w:rFonts w:asciiTheme="minorHAnsi" w:hAnsiTheme="minorHAnsi" w:cstheme="minorHAnsi"/>
          <w:sz w:val="18"/>
          <w:szCs w:val="18"/>
        </w:rPr>
        <w:t xml:space="preserve">The budget broken down by </w:t>
      </w:r>
      <w:r w:rsidRPr="00CF0924">
        <w:rPr>
          <w:rFonts w:asciiTheme="minorHAnsi" w:hAnsiTheme="minorHAnsi" w:cstheme="minorHAnsi"/>
          <w:sz w:val="18"/>
          <w:szCs w:val="18"/>
        </w:rPr>
        <w:t xml:space="preserve">activities </w:t>
      </w:r>
      <w:r w:rsidRPr="00CD44E7">
        <w:rPr>
          <w:rFonts w:asciiTheme="minorHAnsi" w:hAnsiTheme="minorHAnsi" w:cstheme="minorHAnsi"/>
          <w:sz w:val="18"/>
          <w:szCs w:val="18"/>
        </w:rPr>
        <w:t>is indicative only to allow more flexibility in the implementation phase, when discussions and agreements between Slovenian and donors' stakeholders will be finalized.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A4" w:rsidRPr="00110CBD" w:rsidRDefault="000867A4"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0867A4" w:rsidRPr="008F3500">
      <w:trPr>
        <w:cantSplit/>
        <w:trHeight w:hRule="exact" w:val="847"/>
      </w:trPr>
      <w:tc>
        <w:tcPr>
          <w:tcW w:w="567" w:type="dxa"/>
        </w:tcPr>
        <w:p w:rsidR="000867A4" w:rsidRPr="008F3500" w:rsidRDefault="000867A4" w:rsidP="00D248DE">
          <w:pPr>
            <w:autoSpaceDE w:val="0"/>
            <w:autoSpaceDN w:val="0"/>
            <w:adjustRightInd w:val="0"/>
            <w:spacing w:line="240" w:lineRule="auto"/>
            <w:rPr>
              <w:rFonts w:ascii="Republika" w:hAnsi="Republika"/>
              <w:color w:val="529DBA"/>
              <w:sz w:val="60"/>
              <w:szCs w:val="60"/>
              <w:lang w:val="sl-SI"/>
            </w:rPr>
          </w:pPr>
          <w:r>
            <w:rPr>
              <w:rFonts w:ascii="Republika" w:hAnsi="Republika"/>
              <w:noProof/>
              <w:sz w:val="60"/>
              <w:szCs w:val="60"/>
              <w:lang w:val="sl-SI" w:eastAsia="sl-SI"/>
            </w:rPr>
            <w:drawing>
              <wp:inline distT="0" distB="0" distL="0" distR="0" wp14:anchorId="41F5FC0F" wp14:editId="14D3AE22">
                <wp:extent cx="300990" cy="344170"/>
                <wp:effectExtent l="0" t="0" r="381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 cy="344170"/>
                        </a:xfrm>
                        <a:prstGeom prst="rect">
                          <a:avLst/>
                        </a:prstGeom>
                        <a:noFill/>
                        <a:ln>
                          <a:noFill/>
                        </a:ln>
                      </pic:spPr>
                    </pic:pic>
                  </a:graphicData>
                </a:graphic>
              </wp:inline>
            </w:drawing>
          </w:r>
          <w:r w:rsidR="00277611">
            <w:rPr>
              <w:noProof/>
              <w:lang w:val="sl-SI" w:eastAsia="sl-SI"/>
            </w:rPr>
            <mc:AlternateContent>
              <mc:Choice Requires="wps">
                <w:drawing>
                  <wp:anchor distT="4294967295" distB="4294967295"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867A4" w:rsidRPr="00A3760B" w:rsidRDefault="000867A4" w:rsidP="00D6541B">
    <w:pPr>
      <w:autoSpaceDE w:val="0"/>
      <w:autoSpaceDN w:val="0"/>
      <w:adjustRightInd w:val="0"/>
      <w:spacing w:line="240" w:lineRule="auto"/>
      <w:rPr>
        <w:rFonts w:cs="Arial"/>
        <w:lang w:val="sl-SI"/>
      </w:rPr>
    </w:pPr>
  </w:p>
  <w:p w:rsidR="000867A4" w:rsidRPr="00DC123A" w:rsidRDefault="00277611" w:rsidP="00D6541B">
    <w:pPr>
      <w:autoSpaceDE w:val="0"/>
      <w:autoSpaceDN w:val="0"/>
      <w:adjustRightInd w:val="0"/>
      <w:spacing w:line="240" w:lineRule="auto"/>
      <w:rPr>
        <w:rFonts w:cs="Arial"/>
      </w:rPr>
    </w:pPr>
    <w:r>
      <w:rPr>
        <w:rFonts w:cs="Arial"/>
        <w:noProof/>
        <w:szCs w:val="20"/>
        <w:lang w:val="sl-SI" w:eastAsia="sl-SI"/>
      </w:rPr>
      <mc:AlternateContent>
        <mc:Choice Requires="wps">
          <w:drawing>
            <wp:anchor distT="4294967295" distB="4294967295"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4M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C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NSg7gw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0867A4" w:rsidRPr="00DC123A">
      <w:rPr>
        <w:rFonts w:cs="Arial"/>
      </w:rPr>
      <w:t>REPUBLIC OF SLOVENIA</w:t>
    </w:r>
  </w:p>
  <w:p w:rsidR="000867A4" w:rsidRPr="00DC123A" w:rsidRDefault="000867A4" w:rsidP="00D6541B">
    <w:pPr>
      <w:pStyle w:val="Glava"/>
      <w:tabs>
        <w:tab w:val="clear" w:pos="4320"/>
        <w:tab w:val="clear" w:pos="8640"/>
        <w:tab w:val="left" w:pos="5112"/>
      </w:tabs>
      <w:spacing w:after="120" w:line="240" w:lineRule="exact"/>
      <w:rPr>
        <w:rFonts w:cs="Arial"/>
        <w:b/>
        <w:caps/>
      </w:rPr>
    </w:pPr>
    <w:r w:rsidRPr="00DC123A">
      <w:rPr>
        <w:rFonts w:cs="Arial"/>
        <w:b/>
        <w:caps/>
      </w:rPr>
      <w:t>MINISTRY OF ECONOMIC DEVELOPMENT AND TEHNOLOGY</w:t>
    </w:r>
  </w:p>
  <w:p w:rsidR="000867A4" w:rsidRDefault="000867A4" w:rsidP="00A3760B">
    <w:pPr>
      <w:rPr>
        <w:rStyle w:val="hps"/>
      </w:rPr>
    </w:pPr>
    <w:r w:rsidRPr="00A1687B">
      <w:rPr>
        <w:rStyle w:val="hps"/>
      </w:rPr>
      <w:t>REGIONAL DEVELOPMENT AND EUROPEAN TERRITORIAL</w:t>
    </w:r>
  </w:p>
  <w:p w:rsidR="000867A4" w:rsidRPr="00A1687B" w:rsidRDefault="000867A4" w:rsidP="00A3760B">
    <w:pPr>
      <w:rPr>
        <w:rStyle w:val="hps"/>
      </w:rPr>
    </w:pPr>
    <w:r w:rsidRPr="00A1687B">
      <w:rPr>
        <w:rStyle w:val="hps"/>
      </w:rPr>
      <w:t>COOPERATION DIRECTORATE</w:t>
    </w:r>
  </w:p>
  <w:p w:rsidR="000867A4" w:rsidRDefault="000867A4" w:rsidP="00CE5238">
    <w:pPr>
      <w:pStyle w:val="Glava"/>
      <w:tabs>
        <w:tab w:val="clear" w:pos="4320"/>
        <w:tab w:val="clear" w:pos="8640"/>
        <w:tab w:val="left" w:pos="5112"/>
      </w:tabs>
      <w:spacing w:before="120" w:line="240" w:lineRule="exact"/>
      <w:rPr>
        <w:rFonts w:cs="Arial"/>
        <w:sz w:val="16"/>
        <w:lang w:val="sl-SI"/>
      </w:rPr>
    </w:pPr>
  </w:p>
  <w:p w:rsidR="000867A4" w:rsidRPr="008F3500" w:rsidRDefault="000867A4" w:rsidP="009836C6">
    <w:pPr>
      <w:pStyle w:val="Glava"/>
      <w:tabs>
        <w:tab w:val="clear" w:pos="4320"/>
        <w:tab w:val="clear" w:pos="8640"/>
        <w:tab w:val="left" w:pos="5112"/>
      </w:tabs>
      <w:spacing w:before="120" w:line="240" w:lineRule="exact"/>
      <w:rPr>
        <w:rFonts w:cs="Arial"/>
        <w:sz w:val="16"/>
        <w:lang w:val="sl-SI"/>
      </w:rPr>
    </w:pPr>
    <w:r>
      <w:rPr>
        <w:rFonts w:cs="Arial"/>
        <w:sz w:val="16"/>
        <w:lang w:val="sl-SI"/>
      </w:rPr>
      <w:t>Dunajska cesta 58</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Pr="00A647F0">
      <w:rPr>
        <w:rFonts w:cs="Arial"/>
        <w:sz w:val="16"/>
        <w:lang w:val="sl-SI"/>
      </w:rPr>
      <w:t>01 32 01 418</w:t>
    </w:r>
  </w:p>
  <w:p w:rsidR="000867A4" w:rsidRPr="008F3500" w:rsidRDefault="000867A4" w:rsidP="009836C6">
    <w:pPr>
      <w:pStyle w:val="Glava"/>
      <w:tabs>
        <w:tab w:val="clear" w:pos="4320"/>
        <w:tab w:val="clear" w:pos="8640"/>
        <w:tab w:val="left" w:pos="5112"/>
      </w:tabs>
      <w:spacing w:line="240" w:lineRule="exact"/>
      <w:rPr>
        <w:rFonts w:cs="Arial"/>
        <w:sz w:val="16"/>
        <w:lang w:val="sl-SI"/>
      </w:rPr>
    </w:pPr>
    <w:r w:rsidRPr="008F3500">
      <w:rPr>
        <w:rFonts w:cs="Arial"/>
        <w:sz w:val="16"/>
        <w:lang w:val="sl-SI"/>
      </w:rPr>
      <w:tab/>
      <w:t>F</w:t>
    </w:r>
    <w:r w:rsidRPr="00A647F0">
      <w:rPr>
        <w:rFonts w:cs="Arial"/>
        <w:sz w:val="16"/>
        <w:lang w:val="sl-SI"/>
      </w:rPr>
      <w:t>: 01 32 01 301</w:t>
    </w:r>
  </w:p>
  <w:p w:rsidR="000867A4" w:rsidRPr="008F3500" w:rsidRDefault="000867A4" w:rsidP="009836C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gp.svlr@gov.si</w:t>
    </w:r>
  </w:p>
  <w:p w:rsidR="000867A4" w:rsidRPr="008F3500" w:rsidRDefault="000867A4" w:rsidP="009836C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www.svlr.gov.si</w:t>
    </w:r>
  </w:p>
  <w:p w:rsidR="000867A4" w:rsidRPr="008F3500" w:rsidRDefault="000867A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57F"/>
    <w:multiLevelType w:val="hybridMultilevel"/>
    <w:tmpl w:val="0D4805C8"/>
    <w:lvl w:ilvl="0" w:tplc="3B3498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FBA04FF"/>
    <w:multiLevelType w:val="hybridMultilevel"/>
    <w:tmpl w:val="D66C7550"/>
    <w:lvl w:ilvl="0" w:tplc="BC989F7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E13908"/>
    <w:multiLevelType w:val="hybridMultilevel"/>
    <w:tmpl w:val="B81693D4"/>
    <w:lvl w:ilvl="0" w:tplc="BFC2F0B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79E3969"/>
    <w:multiLevelType w:val="hybridMultilevel"/>
    <w:tmpl w:val="95382E04"/>
    <w:lvl w:ilvl="0" w:tplc="BC989F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012663"/>
    <w:multiLevelType w:val="hybridMultilevel"/>
    <w:tmpl w:val="BD92305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A987625"/>
    <w:multiLevelType w:val="hybridMultilevel"/>
    <w:tmpl w:val="50A086CA"/>
    <w:lvl w:ilvl="0" w:tplc="CBF03584">
      <w:start w:val="12"/>
      <w:numFmt w:val="bullet"/>
      <w:lvlText w:val="•"/>
      <w:lvlJc w:val="left"/>
      <w:pPr>
        <w:ind w:left="700" w:hanging="765"/>
      </w:pPr>
      <w:rPr>
        <w:rFonts w:ascii="Calibri" w:eastAsia="Times New Roman" w:hAnsi="Calibri" w:cs="Calibri" w:hint="default"/>
        <w:b/>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8B294C"/>
    <w:multiLevelType w:val="hybridMultilevel"/>
    <w:tmpl w:val="DF6CBBEA"/>
    <w:lvl w:ilvl="0" w:tplc="1AC41A4A">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9">
    <w:nsid w:val="23745431"/>
    <w:multiLevelType w:val="hybridMultilevel"/>
    <w:tmpl w:val="95382E04"/>
    <w:lvl w:ilvl="0" w:tplc="BC989F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E386415"/>
    <w:multiLevelType w:val="hybridMultilevel"/>
    <w:tmpl w:val="80B083F4"/>
    <w:lvl w:ilvl="0" w:tplc="B950A43E">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7C4EF5"/>
    <w:multiLevelType w:val="hybridMultilevel"/>
    <w:tmpl w:val="A956F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CFF4DEF"/>
    <w:multiLevelType w:val="hybridMultilevel"/>
    <w:tmpl w:val="2700B72A"/>
    <w:lvl w:ilvl="0" w:tplc="04240001">
      <w:start w:val="1"/>
      <w:numFmt w:val="bullet"/>
      <w:lvlText w:val=""/>
      <w:lvlJc w:val="left"/>
      <w:pPr>
        <w:ind w:left="658" w:hanging="360"/>
      </w:pPr>
      <w:rPr>
        <w:rFonts w:ascii="Symbol" w:hAnsi="Symbol" w:hint="default"/>
      </w:rPr>
    </w:lvl>
    <w:lvl w:ilvl="1" w:tplc="04240003" w:tentative="1">
      <w:start w:val="1"/>
      <w:numFmt w:val="bullet"/>
      <w:lvlText w:val="o"/>
      <w:lvlJc w:val="left"/>
      <w:pPr>
        <w:ind w:left="1378" w:hanging="360"/>
      </w:pPr>
      <w:rPr>
        <w:rFonts w:ascii="Courier New" w:hAnsi="Courier New" w:cs="Courier New" w:hint="default"/>
      </w:rPr>
    </w:lvl>
    <w:lvl w:ilvl="2" w:tplc="04240005" w:tentative="1">
      <w:start w:val="1"/>
      <w:numFmt w:val="bullet"/>
      <w:lvlText w:val=""/>
      <w:lvlJc w:val="left"/>
      <w:pPr>
        <w:ind w:left="2098" w:hanging="360"/>
      </w:pPr>
      <w:rPr>
        <w:rFonts w:ascii="Wingdings" w:hAnsi="Wingdings" w:hint="default"/>
      </w:rPr>
    </w:lvl>
    <w:lvl w:ilvl="3" w:tplc="04240001" w:tentative="1">
      <w:start w:val="1"/>
      <w:numFmt w:val="bullet"/>
      <w:lvlText w:val=""/>
      <w:lvlJc w:val="left"/>
      <w:pPr>
        <w:ind w:left="2818" w:hanging="360"/>
      </w:pPr>
      <w:rPr>
        <w:rFonts w:ascii="Symbol" w:hAnsi="Symbol" w:hint="default"/>
      </w:rPr>
    </w:lvl>
    <w:lvl w:ilvl="4" w:tplc="04240003" w:tentative="1">
      <w:start w:val="1"/>
      <w:numFmt w:val="bullet"/>
      <w:lvlText w:val="o"/>
      <w:lvlJc w:val="left"/>
      <w:pPr>
        <w:ind w:left="3538" w:hanging="360"/>
      </w:pPr>
      <w:rPr>
        <w:rFonts w:ascii="Courier New" w:hAnsi="Courier New" w:cs="Courier New" w:hint="default"/>
      </w:rPr>
    </w:lvl>
    <w:lvl w:ilvl="5" w:tplc="04240005" w:tentative="1">
      <w:start w:val="1"/>
      <w:numFmt w:val="bullet"/>
      <w:lvlText w:val=""/>
      <w:lvlJc w:val="left"/>
      <w:pPr>
        <w:ind w:left="4258" w:hanging="360"/>
      </w:pPr>
      <w:rPr>
        <w:rFonts w:ascii="Wingdings" w:hAnsi="Wingdings" w:hint="default"/>
      </w:rPr>
    </w:lvl>
    <w:lvl w:ilvl="6" w:tplc="04240001" w:tentative="1">
      <w:start w:val="1"/>
      <w:numFmt w:val="bullet"/>
      <w:lvlText w:val=""/>
      <w:lvlJc w:val="left"/>
      <w:pPr>
        <w:ind w:left="4978" w:hanging="360"/>
      </w:pPr>
      <w:rPr>
        <w:rFonts w:ascii="Symbol" w:hAnsi="Symbol" w:hint="default"/>
      </w:rPr>
    </w:lvl>
    <w:lvl w:ilvl="7" w:tplc="04240003" w:tentative="1">
      <w:start w:val="1"/>
      <w:numFmt w:val="bullet"/>
      <w:lvlText w:val="o"/>
      <w:lvlJc w:val="left"/>
      <w:pPr>
        <w:ind w:left="5698" w:hanging="360"/>
      </w:pPr>
      <w:rPr>
        <w:rFonts w:ascii="Courier New" w:hAnsi="Courier New" w:cs="Courier New" w:hint="default"/>
      </w:rPr>
    </w:lvl>
    <w:lvl w:ilvl="8" w:tplc="04240005" w:tentative="1">
      <w:start w:val="1"/>
      <w:numFmt w:val="bullet"/>
      <w:lvlText w:val=""/>
      <w:lvlJc w:val="left"/>
      <w:pPr>
        <w:ind w:left="6418" w:hanging="360"/>
      </w:pPr>
      <w:rPr>
        <w:rFonts w:ascii="Wingdings" w:hAnsi="Wingdings" w:hint="default"/>
      </w:rPr>
    </w:lvl>
  </w:abstractNum>
  <w:abstractNum w:abstractNumId="14">
    <w:nsid w:val="3E5570DB"/>
    <w:multiLevelType w:val="hybridMultilevel"/>
    <w:tmpl w:val="80B083F4"/>
    <w:lvl w:ilvl="0" w:tplc="B950A43E">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A378F2"/>
    <w:multiLevelType w:val="hybridMultilevel"/>
    <w:tmpl w:val="B6CA1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8E96912"/>
    <w:multiLevelType w:val="hybridMultilevel"/>
    <w:tmpl w:val="A0AA37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D9B002B"/>
    <w:multiLevelType w:val="hybridMultilevel"/>
    <w:tmpl w:val="598E1F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0CA20D7"/>
    <w:multiLevelType w:val="multilevel"/>
    <w:tmpl w:val="08F6498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45213B1"/>
    <w:multiLevelType w:val="hybridMultilevel"/>
    <w:tmpl w:val="D66C7550"/>
    <w:lvl w:ilvl="0" w:tplc="BC989F7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881831"/>
    <w:multiLevelType w:val="hybridMultilevel"/>
    <w:tmpl w:val="95382E04"/>
    <w:lvl w:ilvl="0" w:tplc="BC989F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7BD284C"/>
    <w:multiLevelType w:val="hybridMultilevel"/>
    <w:tmpl w:val="4B4E3E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B25768D"/>
    <w:multiLevelType w:val="hybridMultilevel"/>
    <w:tmpl w:val="A0AA37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26036A7"/>
    <w:multiLevelType w:val="hybridMultilevel"/>
    <w:tmpl w:val="A0E6FF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27C67DE"/>
    <w:multiLevelType w:val="hybridMultilevel"/>
    <w:tmpl w:val="EB8AC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CAD6798"/>
    <w:multiLevelType w:val="hybridMultilevel"/>
    <w:tmpl w:val="BD92305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FEB4725"/>
    <w:multiLevelType w:val="hybridMultilevel"/>
    <w:tmpl w:val="14F8B52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6137A2E"/>
    <w:multiLevelType w:val="hybridMultilevel"/>
    <w:tmpl w:val="29A4C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97E74"/>
    <w:multiLevelType w:val="hybridMultilevel"/>
    <w:tmpl w:val="D7AC60FE"/>
    <w:lvl w:ilvl="0" w:tplc="5B7AE4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CC565E"/>
    <w:multiLevelType w:val="hybridMultilevel"/>
    <w:tmpl w:val="2FDEC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B053E49"/>
    <w:multiLevelType w:val="hybridMultilevel"/>
    <w:tmpl w:val="E55A4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C761687"/>
    <w:multiLevelType w:val="hybridMultilevel"/>
    <w:tmpl w:val="9FAC0DC4"/>
    <w:lvl w:ilvl="0" w:tplc="67940E36">
      <w:start w:val="201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C9834C8"/>
    <w:multiLevelType w:val="hybridMultilevel"/>
    <w:tmpl w:val="53F8A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F1401B3"/>
    <w:multiLevelType w:val="hybridMultilevel"/>
    <w:tmpl w:val="7D48C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0"/>
  </w:num>
  <w:num w:numId="3">
    <w:abstractNumId w:val="15"/>
  </w:num>
  <w:num w:numId="4">
    <w:abstractNumId w:val="1"/>
  </w:num>
  <w:num w:numId="5">
    <w:abstractNumId w:val="4"/>
  </w:num>
  <w:num w:numId="6">
    <w:abstractNumId w:val="16"/>
  </w:num>
  <w:num w:numId="7">
    <w:abstractNumId w:val="19"/>
  </w:num>
  <w:num w:numId="8">
    <w:abstractNumId w:val="30"/>
  </w:num>
  <w:num w:numId="9">
    <w:abstractNumId w:val="28"/>
  </w:num>
  <w:num w:numId="10">
    <w:abstractNumId w:val="13"/>
  </w:num>
  <w:num w:numId="11">
    <w:abstractNumId w:val="29"/>
  </w:num>
  <w:num w:numId="12">
    <w:abstractNumId w:val="7"/>
  </w:num>
  <w:num w:numId="13">
    <w:abstractNumId w:val="34"/>
  </w:num>
  <w:num w:numId="14">
    <w:abstractNumId w:val="27"/>
  </w:num>
  <w:num w:numId="15">
    <w:abstractNumId w:val="23"/>
  </w:num>
  <w:num w:numId="16">
    <w:abstractNumId w:val="14"/>
  </w:num>
  <w:num w:numId="17">
    <w:abstractNumId w:val="2"/>
  </w:num>
  <w:num w:numId="18">
    <w:abstractNumId w:val="21"/>
  </w:num>
  <w:num w:numId="19">
    <w:abstractNumId w:val="31"/>
  </w:num>
  <w:num w:numId="20">
    <w:abstractNumId w:val="6"/>
  </w:num>
  <w:num w:numId="21">
    <w:abstractNumId w:val="11"/>
  </w:num>
  <w:num w:numId="22">
    <w:abstractNumId w:val="17"/>
  </w:num>
  <w:num w:numId="23">
    <w:abstractNumId w:val="20"/>
  </w:num>
  <w:num w:numId="24">
    <w:abstractNumId w:val="18"/>
  </w:num>
  <w:num w:numId="25">
    <w:abstractNumId w:val="22"/>
  </w:num>
  <w:num w:numId="26">
    <w:abstractNumId w:val="32"/>
  </w:num>
  <w:num w:numId="27">
    <w:abstractNumId w:val="24"/>
  </w:num>
  <w:num w:numId="28">
    <w:abstractNumId w:val="8"/>
  </w:num>
  <w:num w:numId="29">
    <w:abstractNumId w:val="3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9"/>
  </w:num>
  <w:num w:numId="39">
    <w:abstractNumId w:val="12"/>
  </w:num>
  <w:num w:numId="40">
    <w:abstractNumId w:val="25"/>
  </w:num>
  <w:num w:numId="41">
    <w:abstractNumId w:val="5"/>
  </w:num>
  <w:num w:numId="42">
    <w:abstractNumId w:val="33"/>
  </w:num>
  <w:num w:numId="43">
    <w:abstractNumId w:val="0"/>
  </w:num>
  <w:num w:numId="44">
    <w:abstractNumId w:val="0"/>
    <w:lvlOverride w:ilvl="0">
      <w:startOverride w:val="1"/>
    </w:lvlOverride>
  </w:num>
  <w:num w:numId="45">
    <w:abstractNumId w:val="0"/>
  </w:num>
  <w:num w:numId="46">
    <w:abstractNumId w:val="0"/>
  </w:num>
  <w:num w:numId="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B3"/>
    <w:rsid w:val="00005E17"/>
    <w:rsid w:val="00012754"/>
    <w:rsid w:val="00014687"/>
    <w:rsid w:val="00016283"/>
    <w:rsid w:val="00023A88"/>
    <w:rsid w:val="000436B3"/>
    <w:rsid w:val="00046BB7"/>
    <w:rsid w:val="00073189"/>
    <w:rsid w:val="000867A4"/>
    <w:rsid w:val="00090180"/>
    <w:rsid w:val="000A7238"/>
    <w:rsid w:val="00115303"/>
    <w:rsid w:val="00122A82"/>
    <w:rsid w:val="001357B2"/>
    <w:rsid w:val="00153BCB"/>
    <w:rsid w:val="00156DCC"/>
    <w:rsid w:val="0017478F"/>
    <w:rsid w:val="0018778D"/>
    <w:rsid w:val="001942F1"/>
    <w:rsid w:val="001E39A9"/>
    <w:rsid w:val="001E3FD9"/>
    <w:rsid w:val="001E436D"/>
    <w:rsid w:val="001E7A55"/>
    <w:rsid w:val="001F2DD8"/>
    <w:rsid w:val="00202A77"/>
    <w:rsid w:val="002057F2"/>
    <w:rsid w:val="002210DD"/>
    <w:rsid w:val="00271CE5"/>
    <w:rsid w:val="00277611"/>
    <w:rsid w:val="00281CEB"/>
    <w:rsid w:val="00282020"/>
    <w:rsid w:val="002A2B69"/>
    <w:rsid w:val="002B3ADC"/>
    <w:rsid w:val="002B5F6E"/>
    <w:rsid w:val="00306ADE"/>
    <w:rsid w:val="00311F7B"/>
    <w:rsid w:val="00325B1F"/>
    <w:rsid w:val="003636BF"/>
    <w:rsid w:val="00371442"/>
    <w:rsid w:val="003807D8"/>
    <w:rsid w:val="003844F6"/>
    <w:rsid w:val="003845B4"/>
    <w:rsid w:val="00387B1A"/>
    <w:rsid w:val="003C5EE5"/>
    <w:rsid w:val="003E0A7F"/>
    <w:rsid w:val="003E0EAF"/>
    <w:rsid w:val="003E1C74"/>
    <w:rsid w:val="003F400E"/>
    <w:rsid w:val="00400946"/>
    <w:rsid w:val="00422633"/>
    <w:rsid w:val="00440B84"/>
    <w:rsid w:val="004415B2"/>
    <w:rsid w:val="00445C68"/>
    <w:rsid w:val="004657EE"/>
    <w:rsid w:val="004A301D"/>
    <w:rsid w:val="004A67CC"/>
    <w:rsid w:val="004B3178"/>
    <w:rsid w:val="004B38E3"/>
    <w:rsid w:val="004B698A"/>
    <w:rsid w:val="004E5259"/>
    <w:rsid w:val="00526246"/>
    <w:rsid w:val="00554657"/>
    <w:rsid w:val="005643CC"/>
    <w:rsid w:val="00567106"/>
    <w:rsid w:val="005B43EB"/>
    <w:rsid w:val="005C0670"/>
    <w:rsid w:val="005D33E6"/>
    <w:rsid w:val="005E112D"/>
    <w:rsid w:val="005E190B"/>
    <w:rsid w:val="005E1D3C"/>
    <w:rsid w:val="005F4C39"/>
    <w:rsid w:val="00603D54"/>
    <w:rsid w:val="0062037C"/>
    <w:rsid w:val="006217EC"/>
    <w:rsid w:val="00625AE6"/>
    <w:rsid w:val="00627F81"/>
    <w:rsid w:val="00632253"/>
    <w:rsid w:val="00642714"/>
    <w:rsid w:val="00644B1A"/>
    <w:rsid w:val="006455CE"/>
    <w:rsid w:val="00653756"/>
    <w:rsid w:val="00655841"/>
    <w:rsid w:val="006570ED"/>
    <w:rsid w:val="00657CE4"/>
    <w:rsid w:val="00661778"/>
    <w:rsid w:val="00662827"/>
    <w:rsid w:val="00677762"/>
    <w:rsid w:val="006D7830"/>
    <w:rsid w:val="006E3708"/>
    <w:rsid w:val="006F2506"/>
    <w:rsid w:val="007033E7"/>
    <w:rsid w:val="00725F49"/>
    <w:rsid w:val="00733017"/>
    <w:rsid w:val="007544E5"/>
    <w:rsid w:val="00777C60"/>
    <w:rsid w:val="00783310"/>
    <w:rsid w:val="007A4A6D"/>
    <w:rsid w:val="007C54B4"/>
    <w:rsid w:val="007C6374"/>
    <w:rsid w:val="007D1BCF"/>
    <w:rsid w:val="007D75CF"/>
    <w:rsid w:val="007E0440"/>
    <w:rsid w:val="007E0985"/>
    <w:rsid w:val="007E3875"/>
    <w:rsid w:val="007E6DC5"/>
    <w:rsid w:val="00820FFA"/>
    <w:rsid w:val="008567BB"/>
    <w:rsid w:val="00873048"/>
    <w:rsid w:val="00875B96"/>
    <w:rsid w:val="0088043C"/>
    <w:rsid w:val="008840E4"/>
    <w:rsid w:val="00884889"/>
    <w:rsid w:val="008906C9"/>
    <w:rsid w:val="008963AC"/>
    <w:rsid w:val="008B567D"/>
    <w:rsid w:val="008C5738"/>
    <w:rsid w:val="008D04F0"/>
    <w:rsid w:val="008E26F4"/>
    <w:rsid w:val="008E4284"/>
    <w:rsid w:val="008F3500"/>
    <w:rsid w:val="008F4498"/>
    <w:rsid w:val="008F752B"/>
    <w:rsid w:val="009110A0"/>
    <w:rsid w:val="00924E3C"/>
    <w:rsid w:val="009612BB"/>
    <w:rsid w:val="009836C6"/>
    <w:rsid w:val="009B5E47"/>
    <w:rsid w:val="009C740A"/>
    <w:rsid w:val="00A125C5"/>
    <w:rsid w:val="00A1687B"/>
    <w:rsid w:val="00A2451C"/>
    <w:rsid w:val="00A3760B"/>
    <w:rsid w:val="00A552E7"/>
    <w:rsid w:val="00A60A61"/>
    <w:rsid w:val="00A62834"/>
    <w:rsid w:val="00A647F0"/>
    <w:rsid w:val="00A64F4C"/>
    <w:rsid w:val="00A65EE7"/>
    <w:rsid w:val="00A70133"/>
    <w:rsid w:val="00A770A6"/>
    <w:rsid w:val="00A813B1"/>
    <w:rsid w:val="00AB36C4"/>
    <w:rsid w:val="00AC32B2"/>
    <w:rsid w:val="00AC79FB"/>
    <w:rsid w:val="00AE1137"/>
    <w:rsid w:val="00AF6447"/>
    <w:rsid w:val="00B17141"/>
    <w:rsid w:val="00B31575"/>
    <w:rsid w:val="00B3292F"/>
    <w:rsid w:val="00B35DBD"/>
    <w:rsid w:val="00B8547D"/>
    <w:rsid w:val="00BB3B6A"/>
    <w:rsid w:val="00C250D5"/>
    <w:rsid w:val="00C35666"/>
    <w:rsid w:val="00C546A1"/>
    <w:rsid w:val="00C54F04"/>
    <w:rsid w:val="00C605DD"/>
    <w:rsid w:val="00C92898"/>
    <w:rsid w:val="00CA4340"/>
    <w:rsid w:val="00CB53A3"/>
    <w:rsid w:val="00CD44E7"/>
    <w:rsid w:val="00CE2C6E"/>
    <w:rsid w:val="00CE324D"/>
    <w:rsid w:val="00CE5238"/>
    <w:rsid w:val="00CE7514"/>
    <w:rsid w:val="00CF0924"/>
    <w:rsid w:val="00D12196"/>
    <w:rsid w:val="00D248DE"/>
    <w:rsid w:val="00D5398B"/>
    <w:rsid w:val="00D6541B"/>
    <w:rsid w:val="00D843DC"/>
    <w:rsid w:val="00D8542D"/>
    <w:rsid w:val="00DC123A"/>
    <w:rsid w:val="00DC6A71"/>
    <w:rsid w:val="00E0357D"/>
    <w:rsid w:val="00E76233"/>
    <w:rsid w:val="00E97FC0"/>
    <w:rsid w:val="00ED1C3E"/>
    <w:rsid w:val="00ED2633"/>
    <w:rsid w:val="00EE0B4F"/>
    <w:rsid w:val="00F07AA0"/>
    <w:rsid w:val="00F240BB"/>
    <w:rsid w:val="00F30533"/>
    <w:rsid w:val="00F52FC7"/>
    <w:rsid w:val="00F57FED"/>
    <w:rsid w:val="00F617D0"/>
    <w:rsid w:val="00F65B5C"/>
    <w:rsid w:val="00F76152"/>
    <w:rsid w:val="00F96A63"/>
    <w:rsid w:val="00FF0D4B"/>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A62834"/>
    <w:pPr>
      <w:keepNext/>
      <w:spacing w:before="240" w:after="60"/>
      <w:jc w:val="center"/>
      <w:outlineLvl w:val="0"/>
    </w:pPr>
    <w:rPr>
      <w:rFonts w:asciiTheme="minorHAnsi" w:hAnsiTheme="minorHAnsi"/>
      <w:b/>
      <w:kern w:val="32"/>
      <w:sz w:val="24"/>
      <w:szCs w:val="32"/>
      <w:u w:val="single"/>
      <w:lang w:eastAsia="sl-SI"/>
    </w:rPr>
  </w:style>
  <w:style w:type="paragraph" w:styleId="Naslov2">
    <w:name w:val="heading 2"/>
    <w:basedOn w:val="Navaden"/>
    <w:next w:val="Navaden"/>
    <w:link w:val="Naslov2Znak"/>
    <w:autoRedefine/>
    <w:qFormat/>
    <w:rsid w:val="00153BCB"/>
    <w:pPr>
      <w:keepNext/>
      <w:keepLines/>
      <w:spacing w:before="200" w:after="120" w:line="276" w:lineRule="auto"/>
      <w:jc w:val="both"/>
      <w:outlineLvl w:val="1"/>
    </w:pPr>
    <w:rPr>
      <w:rFonts w:asciiTheme="minorHAnsi" w:hAnsiTheme="minorHAnsi"/>
      <w:b/>
      <w:bCs/>
      <w:color w:val="244061" w:themeColor="accent1" w:themeShade="80"/>
      <w:sz w:val="22"/>
      <w:szCs w:val="26"/>
      <w:lang w:val="en-GB" w:eastAsia="en-GB"/>
    </w:rPr>
  </w:style>
  <w:style w:type="paragraph" w:styleId="Naslov3">
    <w:name w:val="heading 3"/>
    <w:basedOn w:val="Navaden"/>
    <w:next w:val="Navaden"/>
    <w:link w:val="Naslov3Znak"/>
    <w:qFormat/>
    <w:rsid w:val="000436B3"/>
    <w:pPr>
      <w:keepNext/>
      <w:keepLines/>
      <w:spacing w:before="200" w:line="276" w:lineRule="auto"/>
      <w:ind w:left="720" w:hanging="720"/>
      <w:jc w:val="both"/>
      <w:outlineLvl w:val="2"/>
    </w:pPr>
    <w:rPr>
      <w:rFonts w:ascii="Verdana" w:hAnsi="Verdana"/>
      <w:b/>
      <w:bCs/>
      <w:color w:val="4F81BD"/>
      <w:sz w:val="22"/>
      <w:szCs w:val="22"/>
      <w:lang w:val="en-GB" w:eastAsia="en-GB"/>
    </w:rPr>
  </w:style>
  <w:style w:type="paragraph" w:styleId="Naslov4">
    <w:name w:val="heading 4"/>
    <w:basedOn w:val="Navaden"/>
    <w:next w:val="Navaden"/>
    <w:link w:val="Naslov4Znak"/>
    <w:qFormat/>
    <w:rsid w:val="000436B3"/>
    <w:pPr>
      <w:keepNext/>
      <w:keepLines/>
      <w:spacing w:before="200" w:line="276" w:lineRule="auto"/>
      <w:ind w:left="864" w:hanging="864"/>
      <w:jc w:val="both"/>
      <w:outlineLvl w:val="3"/>
    </w:pPr>
    <w:rPr>
      <w:rFonts w:ascii="Verdana" w:hAnsi="Verdana"/>
      <w:b/>
      <w:bCs/>
      <w:i/>
      <w:iCs/>
      <w:color w:val="4F81BD"/>
      <w:szCs w:val="20"/>
      <w:lang w:val="en-GB" w:eastAsia="en-GB"/>
    </w:rPr>
  </w:style>
  <w:style w:type="paragraph" w:styleId="Naslov5">
    <w:name w:val="heading 5"/>
    <w:basedOn w:val="Navaden"/>
    <w:next w:val="Navaden"/>
    <w:link w:val="Naslov5Znak"/>
    <w:qFormat/>
    <w:rsid w:val="000436B3"/>
    <w:pPr>
      <w:keepNext/>
      <w:keepLines/>
      <w:spacing w:before="200" w:line="276" w:lineRule="auto"/>
      <w:ind w:left="1008" w:hanging="1008"/>
      <w:jc w:val="both"/>
      <w:outlineLvl w:val="4"/>
    </w:pPr>
    <w:rPr>
      <w:rFonts w:ascii="Cambria" w:hAnsi="Cambria"/>
      <w:color w:val="243F60"/>
      <w:szCs w:val="20"/>
      <w:lang w:val="en-GB" w:eastAsia="en-GB"/>
    </w:rPr>
  </w:style>
  <w:style w:type="paragraph" w:styleId="Naslov6">
    <w:name w:val="heading 6"/>
    <w:basedOn w:val="Navaden"/>
    <w:next w:val="Navaden"/>
    <w:link w:val="Naslov6Znak"/>
    <w:qFormat/>
    <w:rsid w:val="000436B3"/>
    <w:pPr>
      <w:keepNext/>
      <w:keepLines/>
      <w:spacing w:before="200" w:line="276" w:lineRule="auto"/>
      <w:ind w:left="1152" w:hanging="1152"/>
      <w:jc w:val="both"/>
      <w:outlineLvl w:val="5"/>
    </w:pPr>
    <w:rPr>
      <w:rFonts w:ascii="Cambria" w:hAnsi="Cambria"/>
      <w:i/>
      <w:iCs/>
      <w:color w:val="243F60"/>
      <w:szCs w:val="20"/>
      <w:lang w:val="en-GB" w:eastAsia="en-GB"/>
    </w:rPr>
  </w:style>
  <w:style w:type="paragraph" w:styleId="Naslov7">
    <w:name w:val="heading 7"/>
    <w:basedOn w:val="Navaden"/>
    <w:next w:val="Navaden"/>
    <w:link w:val="Naslov7Znak"/>
    <w:qFormat/>
    <w:rsid w:val="000436B3"/>
    <w:pPr>
      <w:keepNext/>
      <w:keepLines/>
      <w:spacing w:before="200" w:line="276" w:lineRule="auto"/>
      <w:ind w:left="1296" w:hanging="1296"/>
      <w:jc w:val="both"/>
      <w:outlineLvl w:val="6"/>
    </w:pPr>
    <w:rPr>
      <w:rFonts w:ascii="Cambria" w:hAnsi="Cambria"/>
      <w:i/>
      <w:iCs/>
      <w:color w:val="404040"/>
      <w:szCs w:val="20"/>
      <w:lang w:val="en-GB" w:eastAsia="en-GB"/>
    </w:rPr>
  </w:style>
  <w:style w:type="paragraph" w:styleId="Naslov8">
    <w:name w:val="heading 8"/>
    <w:basedOn w:val="Navaden"/>
    <w:next w:val="Navaden"/>
    <w:link w:val="Naslov8Znak"/>
    <w:qFormat/>
    <w:rsid w:val="000436B3"/>
    <w:pPr>
      <w:keepNext/>
      <w:keepLines/>
      <w:spacing w:before="200" w:line="276" w:lineRule="auto"/>
      <w:ind w:left="1440" w:hanging="1440"/>
      <w:jc w:val="both"/>
      <w:outlineLvl w:val="7"/>
    </w:pPr>
    <w:rPr>
      <w:rFonts w:ascii="Cambria" w:hAnsi="Cambria"/>
      <w:color w:val="4F81BD"/>
      <w:szCs w:val="20"/>
      <w:lang w:val="en-GB" w:eastAsia="en-GB"/>
    </w:rPr>
  </w:style>
  <w:style w:type="paragraph" w:styleId="Naslov9">
    <w:name w:val="heading 9"/>
    <w:basedOn w:val="Navaden"/>
    <w:next w:val="Navaden"/>
    <w:link w:val="Naslov9Znak"/>
    <w:qFormat/>
    <w:rsid w:val="000436B3"/>
    <w:pPr>
      <w:keepNext/>
      <w:keepLines/>
      <w:spacing w:before="200" w:line="276" w:lineRule="auto"/>
      <w:ind w:left="1584" w:hanging="1584"/>
      <w:jc w:val="both"/>
      <w:outlineLvl w:val="8"/>
    </w:pPr>
    <w:rPr>
      <w:rFonts w:ascii="Cambria" w:hAnsi="Cambria"/>
      <w:i/>
      <w:iCs/>
      <w:color w:val="404040"/>
      <w:szCs w:val="20"/>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033E7"/>
    <w:pPr>
      <w:ind w:left="708"/>
    </w:pPr>
  </w:style>
  <w:style w:type="character" w:customStyle="1" w:styleId="GlavaZnak">
    <w:name w:val="Glava Znak"/>
    <w:link w:val="Glava"/>
    <w:rsid w:val="00D6541B"/>
    <w:rPr>
      <w:rFonts w:ascii="Arial" w:hAnsi="Arial"/>
      <w:szCs w:val="24"/>
      <w:lang w:val="en-US" w:eastAsia="en-US"/>
    </w:rPr>
  </w:style>
  <w:style w:type="character" w:customStyle="1" w:styleId="hps">
    <w:name w:val="hps"/>
    <w:rsid w:val="00F30533"/>
  </w:style>
  <w:style w:type="character" w:customStyle="1" w:styleId="Naslov2Znak">
    <w:name w:val="Naslov 2 Znak"/>
    <w:basedOn w:val="Privzetapisavaodstavka"/>
    <w:link w:val="Naslov2"/>
    <w:rsid w:val="00153BCB"/>
    <w:rPr>
      <w:rFonts w:asciiTheme="minorHAnsi" w:hAnsiTheme="minorHAnsi"/>
      <w:b/>
      <w:bCs/>
      <w:color w:val="244061" w:themeColor="accent1" w:themeShade="80"/>
      <w:sz w:val="22"/>
      <w:szCs w:val="26"/>
      <w:lang w:val="en-GB" w:eastAsia="en-GB"/>
    </w:rPr>
  </w:style>
  <w:style w:type="character" w:customStyle="1" w:styleId="Naslov3Znak">
    <w:name w:val="Naslov 3 Znak"/>
    <w:basedOn w:val="Privzetapisavaodstavka"/>
    <w:link w:val="Naslov3"/>
    <w:rsid w:val="000436B3"/>
    <w:rPr>
      <w:rFonts w:ascii="Verdana" w:hAnsi="Verdana"/>
      <w:b/>
      <w:bCs/>
      <w:color w:val="4F81BD"/>
      <w:sz w:val="22"/>
      <w:szCs w:val="22"/>
      <w:lang w:val="en-GB" w:eastAsia="en-GB"/>
    </w:rPr>
  </w:style>
  <w:style w:type="character" w:customStyle="1" w:styleId="Naslov4Znak">
    <w:name w:val="Naslov 4 Znak"/>
    <w:basedOn w:val="Privzetapisavaodstavka"/>
    <w:link w:val="Naslov4"/>
    <w:rsid w:val="000436B3"/>
    <w:rPr>
      <w:rFonts w:ascii="Verdana" w:hAnsi="Verdana"/>
      <w:b/>
      <w:bCs/>
      <w:i/>
      <w:iCs/>
      <w:color w:val="4F81BD"/>
      <w:lang w:val="en-GB" w:eastAsia="en-GB"/>
    </w:rPr>
  </w:style>
  <w:style w:type="character" w:customStyle="1" w:styleId="Naslov5Znak">
    <w:name w:val="Naslov 5 Znak"/>
    <w:basedOn w:val="Privzetapisavaodstavka"/>
    <w:link w:val="Naslov5"/>
    <w:rsid w:val="000436B3"/>
    <w:rPr>
      <w:rFonts w:ascii="Cambria" w:hAnsi="Cambria"/>
      <w:color w:val="243F60"/>
      <w:lang w:val="en-GB" w:eastAsia="en-GB"/>
    </w:rPr>
  </w:style>
  <w:style w:type="character" w:customStyle="1" w:styleId="Naslov6Znak">
    <w:name w:val="Naslov 6 Znak"/>
    <w:basedOn w:val="Privzetapisavaodstavka"/>
    <w:link w:val="Naslov6"/>
    <w:rsid w:val="000436B3"/>
    <w:rPr>
      <w:rFonts w:ascii="Cambria" w:hAnsi="Cambria"/>
      <w:i/>
      <w:iCs/>
      <w:color w:val="243F60"/>
      <w:lang w:val="en-GB" w:eastAsia="en-GB"/>
    </w:rPr>
  </w:style>
  <w:style w:type="character" w:customStyle="1" w:styleId="Naslov7Znak">
    <w:name w:val="Naslov 7 Znak"/>
    <w:basedOn w:val="Privzetapisavaodstavka"/>
    <w:link w:val="Naslov7"/>
    <w:rsid w:val="000436B3"/>
    <w:rPr>
      <w:rFonts w:ascii="Cambria" w:hAnsi="Cambria"/>
      <w:i/>
      <w:iCs/>
      <w:color w:val="404040"/>
      <w:lang w:val="en-GB" w:eastAsia="en-GB"/>
    </w:rPr>
  </w:style>
  <w:style w:type="character" w:customStyle="1" w:styleId="Naslov8Znak">
    <w:name w:val="Naslov 8 Znak"/>
    <w:basedOn w:val="Privzetapisavaodstavka"/>
    <w:link w:val="Naslov8"/>
    <w:rsid w:val="000436B3"/>
    <w:rPr>
      <w:rFonts w:ascii="Cambria" w:hAnsi="Cambria"/>
      <w:color w:val="4F81BD"/>
      <w:lang w:val="en-GB" w:eastAsia="en-GB"/>
    </w:rPr>
  </w:style>
  <w:style w:type="character" w:customStyle="1" w:styleId="Naslov9Znak">
    <w:name w:val="Naslov 9 Znak"/>
    <w:basedOn w:val="Privzetapisavaodstavka"/>
    <w:link w:val="Naslov9"/>
    <w:rsid w:val="000436B3"/>
    <w:rPr>
      <w:rFonts w:ascii="Cambria" w:hAnsi="Cambria"/>
      <w:i/>
      <w:iCs/>
      <w:color w:val="404040"/>
      <w:lang w:val="en-GB" w:eastAsia="en-GB"/>
    </w:rPr>
  </w:style>
  <w:style w:type="paragraph" w:customStyle="1" w:styleId="Default">
    <w:name w:val="Default"/>
    <w:rsid w:val="000436B3"/>
    <w:pPr>
      <w:autoSpaceDE w:val="0"/>
      <w:autoSpaceDN w:val="0"/>
      <w:adjustRightInd w:val="0"/>
    </w:pPr>
    <w:rPr>
      <w:color w:val="000000"/>
      <w:sz w:val="24"/>
      <w:szCs w:val="24"/>
      <w:lang w:val="bg-BG" w:eastAsia="bg-BG"/>
    </w:rPr>
  </w:style>
  <w:style w:type="paragraph" w:styleId="Navadensplet">
    <w:name w:val="Normal (Web)"/>
    <w:basedOn w:val="Navaden"/>
    <w:uiPriority w:val="99"/>
    <w:unhideWhenUsed/>
    <w:rsid w:val="000436B3"/>
    <w:pPr>
      <w:spacing w:before="100" w:beforeAutospacing="1" w:after="100" w:afterAutospacing="1" w:line="240" w:lineRule="auto"/>
    </w:pPr>
    <w:rPr>
      <w:rFonts w:cs="Arial"/>
      <w:sz w:val="24"/>
      <w:lang w:val="et-EE" w:eastAsia="et-EE"/>
    </w:rPr>
  </w:style>
  <w:style w:type="table" w:styleId="Tabelamrea">
    <w:name w:val="Table Grid"/>
    <w:basedOn w:val="Navadnatabela"/>
    <w:uiPriority w:val="59"/>
    <w:rsid w:val="000436B3"/>
    <w:rPr>
      <w:rFonts w:ascii="Calibri" w:hAnsi="Calibri" w:cs="Arial"/>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rsid w:val="008E26F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E26F4"/>
    <w:rPr>
      <w:rFonts w:ascii="Tahoma" w:hAnsi="Tahoma" w:cs="Tahoma"/>
      <w:sz w:val="16"/>
      <w:szCs w:val="16"/>
      <w:lang w:val="en-US" w:eastAsia="en-US"/>
    </w:rPr>
  </w:style>
  <w:style w:type="paragraph" w:styleId="Sprotnaopomba-besedilo">
    <w:name w:val="footnote text"/>
    <w:basedOn w:val="Navaden"/>
    <w:link w:val="Sprotnaopomba-besediloZnak"/>
    <w:rsid w:val="00CD44E7"/>
    <w:pPr>
      <w:spacing w:line="240" w:lineRule="auto"/>
    </w:pPr>
    <w:rPr>
      <w:szCs w:val="20"/>
    </w:rPr>
  </w:style>
  <w:style w:type="character" w:customStyle="1" w:styleId="Sprotnaopomba-besediloZnak">
    <w:name w:val="Sprotna opomba - besedilo Znak"/>
    <w:basedOn w:val="Privzetapisavaodstavka"/>
    <w:link w:val="Sprotnaopomba-besedilo"/>
    <w:rsid w:val="00CD44E7"/>
    <w:rPr>
      <w:rFonts w:ascii="Arial" w:hAnsi="Arial"/>
      <w:lang w:val="en-US" w:eastAsia="en-US"/>
    </w:rPr>
  </w:style>
  <w:style w:type="character" w:styleId="Sprotnaopomba-sklic">
    <w:name w:val="footnote reference"/>
    <w:basedOn w:val="Privzetapisavaodstavka"/>
    <w:rsid w:val="00CD44E7"/>
    <w:rPr>
      <w:vertAlign w:val="superscript"/>
    </w:rPr>
  </w:style>
  <w:style w:type="paragraph" w:styleId="Naslov">
    <w:name w:val="Title"/>
    <w:basedOn w:val="Navaden"/>
    <w:next w:val="Navaden"/>
    <w:link w:val="NaslovZnak"/>
    <w:qFormat/>
    <w:rsid w:val="008E4284"/>
    <w:pPr>
      <w:pBdr>
        <w:bottom w:val="single" w:sz="8" w:space="4" w:color="4F81BD" w:themeColor="accent1"/>
      </w:pBdr>
      <w:spacing w:after="300" w:line="240" w:lineRule="auto"/>
      <w:contextualSpacing/>
    </w:pPr>
    <w:rPr>
      <w:rFonts w:asciiTheme="minorHAnsi" w:eastAsiaTheme="majorEastAsia" w:hAnsiTheme="minorHAnsi" w:cstheme="majorBidi"/>
      <w:b/>
      <w:color w:val="17365D" w:themeColor="text2" w:themeShade="BF"/>
      <w:spacing w:val="5"/>
      <w:kern w:val="28"/>
      <w:sz w:val="24"/>
      <w:szCs w:val="52"/>
    </w:rPr>
  </w:style>
  <w:style w:type="character" w:customStyle="1" w:styleId="NaslovZnak">
    <w:name w:val="Naslov Znak"/>
    <w:basedOn w:val="Privzetapisavaodstavka"/>
    <w:link w:val="Naslov"/>
    <w:rsid w:val="008E4284"/>
    <w:rPr>
      <w:rFonts w:asciiTheme="minorHAnsi" w:eastAsiaTheme="majorEastAsia" w:hAnsiTheme="minorHAnsi" w:cstheme="majorBidi"/>
      <w:b/>
      <w:color w:val="17365D" w:themeColor="text2" w:themeShade="BF"/>
      <w:spacing w:val="5"/>
      <w:kern w:val="28"/>
      <w:sz w:val="24"/>
      <w:szCs w:val="52"/>
      <w:lang w:val="en-US" w:eastAsia="en-US"/>
    </w:rPr>
  </w:style>
  <w:style w:type="character" w:styleId="Krepko">
    <w:name w:val="Strong"/>
    <w:basedOn w:val="Naslov5Znak"/>
    <w:qFormat/>
    <w:rsid w:val="000867A4"/>
    <w:rPr>
      <w:rFonts w:asciiTheme="minorHAnsi" w:hAnsiTheme="minorHAnsi"/>
      <w:b/>
      <w:bCs/>
      <w:color w:val="243F60"/>
      <w:sz w:val="32"/>
      <w:lang w:val="en-GB" w:eastAsia="en-GB"/>
    </w:rPr>
  </w:style>
  <w:style w:type="paragraph" w:styleId="NaslovTOC">
    <w:name w:val="TOC Heading"/>
    <w:basedOn w:val="Naslov1"/>
    <w:next w:val="Navaden"/>
    <w:uiPriority w:val="39"/>
    <w:semiHidden/>
    <w:unhideWhenUsed/>
    <w:qFormat/>
    <w:rsid w:val="000867A4"/>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lang w:val="sl-SI"/>
    </w:rPr>
  </w:style>
  <w:style w:type="paragraph" w:styleId="Kazalovsebine2">
    <w:name w:val="toc 2"/>
    <w:basedOn w:val="Navaden"/>
    <w:next w:val="Navaden"/>
    <w:autoRedefine/>
    <w:uiPriority w:val="39"/>
    <w:unhideWhenUsed/>
    <w:qFormat/>
    <w:rsid w:val="000867A4"/>
    <w:pPr>
      <w:spacing w:after="100" w:line="276" w:lineRule="auto"/>
      <w:ind w:left="220"/>
    </w:pPr>
    <w:rPr>
      <w:rFonts w:asciiTheme="minorHAnsi" w:eastAsiaTheme="minorEastAsia" w:hAnsiTheme="minorHAnsi" w:cstheme="minorBidi"/>
      <w:sz w:val="22"/>
      <w:szCs w:val="22"/>
      <w:lang w:val="sl-SI" w:eastAsia="sl-SI"/>
    </w:rPr>
  </w:style>
  <w:style w:type="paragraph" w:styleId="Kazalovsebine1">
    <w:name w:val="toc 1"/>
    <w:basedOn w:val="Navaden"/>
    <w:next w:val="Navaden"/>
    <w:autoRedefine/>
    <w:uiPriority w:val="39"/>
    <w:unhideWhenUsed/>
    <w:qFormat/>
    <w:rsid w:val="000867A4"/>
    <w:pPr>
      <w:spacing w:after="100" w:line="276" w:lineRule="auto"/>
    </w:pPr>
    <w:rPr>
      <w:rFonts w:asciiTheme="minorHAnsi" w:eastAsiaTheme="minorEastAsia" w:hAnsiTheme="minorHAnsi" w:cstheme="minorBidi"/>
      <w:sz w:val="22"/>
      <w:szCs w:val="22"/>
      <w:lang w:val="sl-SI" w:eastAsia="sl-SI"/>
    </w:rPr>
  </w:style>
  <w:style w:type="paragraph" w:styleId="Kazalovsebine3">
    <w:name w:val="toc 3"/>
    <w:basedOn w:val="Navaden"/>
    <w:next w:val="Navaden"/>
    <w:autoRedefine/>
    <w:uiPriority w:val="39"/>
    <w:unhideWhenUsed/>
    <w:qFormat/>
    <w:rsid w:val="000867A4"/>
    <w:pPr>
      <w:spacing w:after="100" w:line="276" w:lineRule="auto"/>
      <w:ind w:left="440"/>
    </w:pPr>
    <w:rPr>
      <w:rFonts w:asciiTheme="minorHAnsi" w:eastAsiaTheme="minorEastAsia" w:hAnsiTheme="minorHAnsi" w:cstheme="minorBidi"/>
      <w:sz w:val="22"/>
      <w:szCs w:val="22"/>
      <w:lang w:val="sl-SI" w:eastAsia="sl-SI"/>
    </w:rPr>
  </w:style>
  <w:style w:type="character" w:customStyle="1" w:styleId="NogaZnak">
    <w:name w:val="Noga Znak"/>
    <w:basedOn w:val="Privzetapisavaodstavka"/>
    <w:link w:val="Noga"/>
    <w:uiPriority w:val="99"/>
    <w:rsid w:val="002057F2"/>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A62834"/>
    <w:pPr>
      <w:keepNext/>
      <w:spacing w:before="240" w:after="60"/>
      <w:jc w:val="center"/>
      <w:outlineLvl w:val="0"/>
    </w:pPr>
    <w:rPr>
      <w:rFonts w:asciiTheme="minorHAnsi" w:hAnsiTheme="minorHAnsi"/>
      <w:b/>
      <w:kern w:val="32"/>
      <w:sz w:val="24"/>
      <w:szCs w:val="32"/>
      <w:u w:val="single"/>
      <w:lang w:eastAsia="sl-SI"/>
    </w:rPr>
  </w:style>
  <w:style w:type="paragraph" w:styleId="Naslov2">
    <w:name w:val="heading 2"/>
    <w:basedOn w:val="Navaden"/>
    <w:next w:val="Navaden"/>
    <w:link w:val="Naslov2Znak"/>
    <w:autoRedefine/>
    <w:qFormat/>
    <w:rsid w:val="00153BCB"/>
    <w:pPr>
      <w:keepNext/>
      <w:keepLines/>
      <w:spacing w:before="200" w:after="120" w:line="276" w:lineRule="auto"/>
      <w:jc w:val="both"/>
      <w:outlineLvl w:val="1"/>
    </w:pPr>
    <w:rPr>
      <w:rFonts w:asciiTheme="minorHAnsi" w:hAnsiTheme="minorHAnsi"/>
      <w:b/>
      <w:bCs/>
      <w:color w:val="244061" w:themeColor="accent1" w:themeShade="80"/>
      <w:sz w:val="22"/>
      <w:szCs w:val="26"/>
      <w:lang w:val="en-GB" w:eastAsia="en-GB"/>
    </w:rPr>
  </w:style>
  <w:style w:type="paragraph" w:styleId="Naslov3">
    <w:name w:val="heading 3"/>
    <w:basedOn w:val="Navaden"/>
    <w:next w:val="Navaden"/>
    <w:link w:val="Naslov3Znak"/>
    <w:qFormat/>
    <w:rsid w:val="000436B3"/>
    <w:pPr>
      <w:keepNext/>
      <w:keepLines/>
      <w:spacing w:before="200" w:line="276" w:lineRule="auto"/>
      <w:ind w:left="720" w:hanging="720"/>
      <w:jc w:val="both"/>
      <w:outlineLvl w:val="2"/>
    </w:pPr>
    <w:rPr>
      <w:rFonts w:ascii="Verdana" w:hAnsi="Verdana"/>
      <w:b/>
      <w:bCs/>
      <w:color w:val="4F81BD"/>
      <w:sz w:val="22"/>
      <w:szCs w:val="22"/>
      <w:lang w:val="en-GB" w:eastAsia="en-GB"/>
    </w:rPr>
  </w:style>
  <w:style w:type="paragraph" w:styleId="Naslov4">
    <w:name w:val="heading 4"/>
    <w:basedOn w:val="Navaden"/>
    <w:next w:val="Navaden"/>
    <w:link w:val="Naslov4Znak"/>
    <w:qFormat/>
    <w:rsid w:val="000436B3"/>
    <w:pPr>
      <w:keepNext/>
      <w:keepLines/>
      <w:spacing w:before="200" w:line="276" w:lineRule="auto"/>
      <w:ind w:left="864" w:hanging="864"/>
      <w:jc w:val="both"/>
      <w:outlineLvl w:val="3"/>
    </w:pPr>
    <w:rPr>
      <w:rFonts w:ascii="Verdana" w:hAnsi="Verdana"/>
      <w:b/>
      <w:bCs/>
      <w:i/>
      <w:iCs/>
      <w:color w:val="4F81BD"/>
      <w:szCs w:val="20"/>
      <w:lang w:val="en-GB" w:eastAsia="en-GB"/>
    </w:rPr>
  </w:style>
  <w:style w:type="paragraph" w:styleId="Naslov5">
    <w:name w:val="heading 5"/>
    <w:basedOn w:val="Navaden"/>
    <w:next w:val="Navaden"/>
    <w:link w:val="Naslov5Znak"/>
    <w:qFormat/>
    <w:rsid w:val="000436B3"/>
    <w:pPr>
      <w:keepNext/>
      <w:keepLines/>
      <w:spacing w:before="200" w:line="276" w:lineRule="auto"/>
      <w:ind w:left="1008" w:hanging="1008"/>
      <w:jc w:val="both"/>
      <w:outlineLvl w:val="4"/>
    </w:pPr>
    <w:rPr>
      <w:rFonts w:ascii="Cambria" w:hAnsi="Cambria"/>
      <w:color w:val="243F60"/>
      <w:szCs w:val="20"/>
      <w:lang w:val="en-GB" w:eastAsia="en-GB"/>
    </w:rPr>
  </w:style>
  <w:style w:type="paragraph" w:styleId="Naslov6">
    <w:name w:val="heading 6"/>
    <w:basedOn w:val="Navaden"/>
    <w:next w:val="Navaden"/>
    <w:link w:val="Naslov6Znak"/>
    <w:qFormat/>
    <w:rsid w:val="000436B3"/>
    <w:pPr>
      <w:keepNext/>
      <w:keepLines/>
      <w:spacing w:before="200" w:line="276" w:lineRule="auto"/>
      <w:ind w:left="1152" w:hanging="1152"/>
      <w:jc w:val="both"/>
      <w:outlineLvl w:val="5"/>
    </w:pPr>
    <w:rPr>
      <w:rFonts w:ascii="Cambria" w:hAnsi="Cambria"/>
      <w:i/>
      <w:iCs/>
      <w:color w:val="243F60"/>
      <w:szCs w:val="20"/>
      <w:lang w:val="en-GB" w:eastAsia="en-GB"/>
    </w:rPr>
  </w:style>
  <w:style w:type="paragraph" w:styleId="Naslov7">
    <w:name w:val="heading 7"/>
    <w:basedOn w:val="Navaden"/>
    <w:next w:val="Navaden"/>
    <w:link w:val="Naslov7Znak"/>
    <w:qFormat/>
    <w:rsid w:val="000436B3"/>
    <w:pPr>
      <w:keepNext/>
      <w:keepLines/>
      <w:spacing w:before="200" w:line="276" w:lineRule="auto"/>
      <w:ind w:left="1296" w:hanging="1296"/>
      <w:jc w:val="both"/>
      <w:outlineLvl w:val="6"/>
    </w:pPr>
    <w:rPr>
      <w:rFonts w:ascii="Cambria" w:hAnsi="Cambria"/>
      <w:i/>
      <w:iCs/>
      <w:color w:val="404040"/>
      <w:szCs w:val="20"/>
      <w:lang w:val="en-GB" w:eastAsia="en-GB"/>
    </w:rPr>
  </w:style>
  <w:style w:type="paragraph" w:styleId="Naslov8">
    <w:name w:val="heading 8"/>
    <w:basedOn w:val="Navaden"/>
    <w:next w:val="Navaden"/>
    <w:link w:val="Naslov8Znak"/>
    <w:qFormat/>
    <w:rsid w:val="000436B3"/>
    <w:pPr>
      <w:keepNext/>
      <w:keepLines/>
      <w:spacing w:before="200" w:line="276" w:lineRule="auto"/>
      <w:ind w:left="1440" w:hanging="1440"/>
      <w:jc w:val="both"/>
      <w:outlineLvl w:val="7"/>
    </w:pPr>
    <w:rPr>
      <w:rFonts w:ascii="Cambria" w:hAnsi="Cambria"/>
      <w:color w:val="4F81BD"/>
      <w:szCs w:val="20"/>
      <w:lang w:val="en-GB" w:eastAsia="en-GB"/>
    </w:rPr>
  </w:style>
  <w:style w:type="paragraph" w:styleId="Naslov9">
    <w:name w:val="heading 9"/>
    <w:basedOn w:val="Navaden"/>
    <w:next w:val="Navaden"/>
    <w:link w:val="Naslov9Znak"/>
    <w:qFormat/>
    <w:rsid w:val="000436B3"/>
    <w:pPr>
      <w:keepNext/>
      <w:keepLines/>
      <w:spacing w:before="200" w:line="276" w:lineRule="auto"/>
      <w:ind w:left="1584" w:hanging="1584"/>
      <w:jc w:val="both"/>
      <w:outlineLvl w:val="8"/>
    </w:pPr>
    <w:rPr>
      <w:rFonts w:ascii="Cambria" w:hAnsi="Cambria"/>
      <w:i/>
      <w:iCs/>
      <w:color w:val="404040"/>
      <w:szCs w:val="20"/>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033E7"/>
    <w:pPr>
      <w:ind w:left="708"/>
    </w:pPr>
  </w:style>
  <w:style w:type="character" w:customStyle="1" w:styleId="GlavaZnak">
    <w:name w:val="Glava Znak"/>
    <w:link w:val="Glava"/>
    <w:rsid w:val="00D6541B"/>
    <w:rPr>
      <w:rFonts w:ascii="Arial" w:hAnsi="Arial"/>
      <w:szCs w:val="24"/>
      <w:lang w:val="en-US" w:eastAsia="en-US"/>
    </w:rPr>
  </w:style>
  <w:style w:type="character" w:customStyle="1" w:styleId="hps">
    <w:name w:val="hps"/>
    <w:rsid w:val="00F30533"/>
  </w:style>
  <w:style w:type="character" w:customStyle="1" w:styleId="Naslov2Znak">
    <w:name w:val="Naslov 2 Znak"/>
    <w:basedOn w:val="Privzetapisavaodstavka"/>
    <w:link w:val="Naslov2"/>
    <w:rsid w:val="00153BCB"/>
    <w:rPr>
      <w:rFonts w:asciiTheme="minorHAnsi" w:hAnsiTheme="minorHAnsi"/>
      <w:b/>
      <w:bCs/>
      <w:color w:val="244061" w:themeColor="accent1" w:themeShade="80"/>
      <w:sz w:val="22"/>
      <w:szCs w:val="26"/>
      <w:lang w:val="en-GB" w:eastAsia="en-GB"/>
    </w:rPr>
  </w:style>
  <w:style w:type="character" w:customStyle="1" w:styleId="Naslov3Znak">
    <w:name w:val="Naslov 3 Znak"/>
    <w:basedOn w:val="Privzetapisavaodstavka"/>
    <w:link w:val="Naslov3"/>
    <w:rsid w:val="000436B3"/>
    <w:rPr>
      <w:rFonts w:ascii="Verdana" w:hAnsi="Verdana"/>
      <w:b/>
      <w:bCs/>
      <w:color w:val="4F81BD"/>
      <w:sz w:val="22"/>
      <w:szCs w:val="22"/>
      <w:lang w:val="en-GB" w:eastAsia="en-GB"/>
    </w:rPr>
  </w:style>
  <w:style w:type="character" w:customStyle="1" w:styleId="Naslov4Znak">
    <w:name w:val="Naslov 4 Znak"/>
    <w:basedOn w:val="Privzetapisavaodstavka"/>
    <w:link w:val="Naslov4"/>
    <w:rsid w:val="000436B3"/>
    <w:rPr>
      <w:rFonts w:ascii="Verdana" w:hAnsi="Verdana"/>
      <w:b/>
      <w:bCs/>
      <w:i/>
      <w:iCs/>
      <w:color w:val="4F81BD"/>
      <w:lang w:val="en-GB" w:eastAsia="en-GB"/>
    </w:rPr>
  </w:style>
  <w:style w:type="character" w:customStyle="1" w:styleId="Naslov5Znak">
    <w:name w:val="Naslov 5 Znak"/>
    <w:basedOn w:val="Privzetapisavaodstavka"/>
    <w:link w:val="Naslov5"/>
    <w:rsid w:val="000436B3"/>
    <w:rPr>
      <w:rFonts w:ascii="Cambria" w:hAnsi="Cambria"/>
      <w:color w:val="243F60"/>
      <w:lang w:val="en-GB" w:eastAsia="en-GB"/>
    </w:rPr>
  </w:style>
  <w:style w:type="character" w:customStyle="1" w:styleId="Naslov6Znak">
    <w:name w:val="Naslov 6 Znak"/>
    <w:basedOn w:val="Privzetapisavaodstavka"/>
    <w:link w:val="Naslov6"/>
    <w:rsid w:val="000436B3"/>
    <w:rPr>
      <w:rFonts w:ascii="Cambria" w:hAnsi="Cambria"/>
      <w:i/>
      <w:iCs/>
      <w:color w:val="243F60"/>
      <w:lang w:val="en-GB" w:eastAsia="en-GB"/>
    </w:rPr>
  </w:style>
  <w:style w:type="character" w:customStyle="1" w:styleId="Naslov7Znak">
    <w:name w:val="Naslov 7 Znak"/>
    <w:basedOn w:val="Privzetapisavaodstavka"/>
    <w:link w:val="Naslov7"/>
    <w:rsid w:val="000436B3"/>
    <w:rPr>
      <w:rFonts w:ascii="Cambria" w:hAnsi="Cambria"/>
      <w:i/>
      <w:iCs/>
      <w:color w:val="404040"/>
      <w:lang w:val="en-GB" w:eastAsia="en-GB"/>
    </w:rPr>
  </w:style>
  <w:style w:type="character" w:customStyle="1" w:styleId="Naslov8Znak">
    <w:name w:val="Naslov 8 Znak"/>
    <w:basedOn w:val="Privzetapisavaodstavka"/>
    <w:link w:val="Naslov8"/>
    <w:rsid w:val="000436B3"/>
    <w:rPr>
      <w:rFonts w:ascii="Cambria" w:hAnsi="Cambria"/>
      <w:color w:val="4F81BD"/>
      <w:lang w:val="en-GB" w:eastAsia="en-GB"/>
    </w:rPr>
  </w:style>
  <w:style w:type="character" w:customStyle="1" w:styleId="Naslov9Znak">
    <w:name w:val="Naslov 9 Znak"/>
    <w:basedOn w:val="Privzetapisavaodstavka"/>
    <w:link w:val="Naslov9"/>
    <w:rsid w:val="000436B3"/>
    <w:rPr>
      <w:rFonts w:ascii="Cambria" w:hAnsi="Cambria"/>
      <w:i/>
      <w:iCs/>
      <w:color w:val="404040"/>
      <w:lang w:val="en-GB" w:eastAsia="en-GB"/>
    </w:rPr>
  </w:style>
  <w:style w:type="paragraph" w:customStyle="1" w:styleId="Default">
    <w:name w:val="Default"/>
    <w:rsid w:val="000436B3"/>
    <w:pPr>
      <w:autoSpaceDE w:val="0"/>
      <w:autoSpaceDN w:val="0"/>
      <w:adjustRightInd w:val="0"/>
    </w:pPr>
    <w:rPr>
      <w:color w:val="000000"/>
      <w:sz w:val="24"/>
      <w:szCs w:val="24"/>
      <w:lang w:val="bg-BG" w:eastAsia="bg-BG"/>
    </w:rPr>
  </w:style>
  <w:style w:type="paragraph" w:styleId="Navadensplet">
    <w:name w:val="Normal (Web)"/>
    <w:basedOn w:val="Navaden"/>
    <w:uiPriority w:val="99"/>
    <w:unhideWhenUsed/>
    <w:rsid w:val="000436B3"/>
    <w:pPr>
      <w:spacing w:before="100" w:beforeAutospacing="1" w:after="100" w:afterAutospacing="1" w:line="240" w:lineRule="auto"/>
    </w:pPr>
    <w:rPr>
      <w:rFonts w:cs="Arial"/>
      <w:sz w:val="24"/>
      <w:lang w:val="et-EE" w:eastAsia="et-EE"/>
    </w:rPr>
  </w:style>
  <w:style w:type="table" w:styleId="Tabelamrea">
    <w:name w:val="Table Grid"/>
    <w:basedOn w:val="Navadnatabela"/>
    <w:uiPriority w:val="59"/>
    <w:rsid w:val="000436B3"/>
    <w:rPr>
      <w:rFonts w:ascii="Calibri" w:hAnsi="Calibri" w:cs="Arial"/>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rsid w:val="008E26F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E26F4"/>
    <w:rPr>
      <w:rFonts w:ascii="Tahoma" w:hAnsi="Tahoma" w:cs="Tahoma"/>
      <w:sz w:val="16"/>
      <w:szCs w:val="16"/>
      <w:lang w:val="en-US" w:eastAsia="en-US"/>
    </w:rPr>
  </w:style>
  <w:style w:type="paragraph" w:styleId="Sprotnaopomba-besedilo">
    <w:name w:val="footnote text"/>
    <w:basedOn w:val="Navaden"/>
    <w:link w:val="Sprotnaopomba-besediloZnak"/>
    <w:rsid w:val="00CD44E7"/>
    <w:pPr>
      <w:spacing w:line="240" w:lineRule="auto"/>
    </w:pPr>
    <w:rPr>
      <w:szCs w:val="20"/>
    </w:rPr>
  </w:style>
  <w:style w:type="character" w:customStyle="1" w:styleId="Sprotnaopomba-besediloZnak">
    <w:name w:val="Sprotna opomba - besedilo Znak"/>
    <w:basedOn w:val="Privzetapisavaodstavka"/>
    <w:link w:val="Sprotnaopomba-besedilo"/>
    <w:rsid w:val="00CD44E7"/>
    <w:rPr>
      <w:rFonts w:ascii="Arial" w:hAnsi="Arial"/>
      <w:lang w:val="en-US" w:eastAsia="en-US"/>
    </w:rPr>
  </w:style>
  <w:style w:type="character" w:styleId="Sprotnaopomba-sklic">
    <w:name w:val="footnote reference"/>
    <w:basedOn w:val="Privzetapisavaodstavka"/>
    <w:rsid w:val="00CD44E7"/>
    <w:rPr>
      <w:vertAlign w:val="superscript"/>
    </w:rPr>
  </w:style>
  <w:style w:type="paragraph" w:styleId="Naslov">
    <w:name w:val="Title"/>
    <w:basedOn w:val="Navaden"/>
    <w:next w:val="Navaden"/>
    <w:link w:val="NaslovZnak"/>
    <w:qFormat/>
    <w:rsid w:val="008E4284"/>
    <w:pPr>
      <w:pBdr>
        <w:bottom w:val="single" w:sz="8" w:space="4" w:color="4F81BD" w:themeColor="accent1"/>
      </w:pBdr>
      <w:spacing w:after="300" w:line="240" w:lineRule="auto"/>
      <w:contextualSpacing/>
    </w:pPr>
    <w:rPr>
      <w:rFonts w:asciiTheme="minorHAnsi" w:eastAsiaTheme="majorEastAsia" w:hAnsiTheme="minorHAnsi" w:cstheme="majorBidi"/>
      <w:b/>
      <w:color w:val="17365D" w:themeColor="text2" w:themeShade="BF"/>
      <w:spacing w:val="5"/>
      <w:kern w:val="28"/>
      <w:sz w:val="24"/>
      <w:szCs w:val="52"/>
    </w:rPr>
  </w:style>
  <w:style w:type="character" w:customStyle="1" w:styleId="NaslovZnak">
    <w:name w:val="Naslov Znak"/>
    <w:basedOn w:val="Privzetapisavaodstavka"/>
    <w:link w:val="Naslov"/>
    <w:rsid w:val="008E4284"/>
    <w:rPr>
      <w:rFonts w:asciiTheme="minorHAnsi" w:eastAsiaTheme="majorEastAsia" w:hAnsiTheme="minorHAnsi" w:cstheme="majorBidi"/>
      <w:b/>
      <w:color w:val="17365D" w:themeColor="text2" w:themeShade="BF"/>
      <w:spacing w:val="5"/>
      <w:kern w:val="28"/>
      <w:sz w:val="24"/>
      <w:szCs w:val="52"/>
      <w:lang w:val="en-US" w:eastAsia="en-US"/>
    </w:rPr>
  </w:style>
  <w:style w:type="character" w:styleId="Krepko">
    <w:name w:val="Strong"/>
    <w:basedOn w:val="Naslov5Znak"/>
    <w:qFormat/>
    <w:rsid w:val="000867A4"/>
    <w:rPr>
      <w:rFonts w:asciiTheme="minorHAnsi" w:hAnsiTheme="minorHAnsi"/>
      <w:b/>
      <w:bCs/>
      <w:color w:val="243F60"/>
      <w:sz w:val="32"/>
      <w:lang w:val="en-GB" w:eastAsia="en-GB"/>
    </w:rPr>
  </w:style>
  <w:style w:type="paragraph" w:styleId="NaslovTOC">
    <w:name w:val="TOC Heading"/>
    <w:basedOn w:val="Naslov1"/>
    <w:next w:val="Navaden"/>
    <w:uiPriority w:val="39"/>
    <w:semiHidden/>
    <w:unhideWhenUsed/>
    <w:qFormat/>
    <w:rsid w:val="000867A4"/>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lang w:val="sl-SI"/>
    </w:rPr>
  </w:style>
  <w:style w:type="paragraph" w:styleId="Kazalovsebine2">
    <w:name w:val="toc 2"/>
    <w:basedOn w:val="Navaden"/>
    <w:next w:val="Navaden"/>
    <w:autoRedefine/>
    <w:uiPriority w:val="39"/>
    <w:unhideWhenUsed/>
    <w:qFormat/>
    <w:rsid w:val="000867A4"/>
    <w:pPr>
      <w:spacing w:after="100" w:line="276" w:lineRule="auto"/>
      <w:ind w:left="220"/>
    </w:pPr>
    <w:rPr>
      <w:rFonts w:asciiTheme="minorHAnsi" w:eastAsiaTheme="minorEastAsia" w:hAnsiTheme="minorHAnsi" w:cstheme="minorBidi"/>
      <w:sz w:val="22"/>
      <w:szCs w:val="22"/>
      <w:lang w:val="sl-SI" w:eastAsia="sl-SI"/>
    </w:rPr>
  </w:style>
  <w:style w:type="paragraph" w:styleId="Kazalovsebine1">
    <w:name w:val="toc 1"/>
    <w:basedOn w:val="Navaden"/>
    <w:next w:val="Navaden"/>
    <w:autoRedefine/>
    <w:uiPriority w:val="39"/>
    <w:unhideWhenUsed/>
    <w:qFormat/>
    <w:rsid w:val="000867A4"/>
    <w:pPr>
      <w:spacing w:after="100" w:line="276" w:lineRule="auto"/>
    </w:pPr>
    <w:rPr>
      <w:rFonts w:asciiTheme="minorHAnsi" w:eastAsiaTheme="minorEastAsia" w:hAnsiTheme="minorHAnsi" w:cstheme="minorBidi"/>
      <w:sz w:val="22"/>
      <w:szCs w:val="22"/>
      <w:lang w:val="sl-SI" w:eastAsia="sl-SI"/>
    </w:rPr>
  </w:style>
  <w:style w:type="paragraph" w:styleId="Kazalovsebine3">
    <w:name w:val="toc 3"/>
    <w:basedOn w:val="Navaden"/>
    <w:next w:val="Navaden"/>
    <w:autoRedefine/>
    <w:uiPriority w:val="39"/>
    <w:unhideWhenUsed/>
    <w:qFormat/>
    <w:rsid w:val="000867A4"/>
    <w:pPr>
      <w:spacing w:after="100" w:line="276" w:lineRule="auto"/>
      <w:ind w:left="440"/>
    </w:pPr>
    <w:rPr>
      <w:rFonts w:asciiTheme="minorHAnsi" w:eastAsiaTheme="minorEastAsia" w:hAnsiTheme="minorHAnsi" w:cstheme="minorBidi"/>
      <w:sz w:val="22"/>
      <w:szCs w:val="22"/>
      <w:lang w:val="sl-SI" w:eastAsia="sl-SI"/>
    </w:rPr>
  </w:style>
  <w:style w:type="character" w:customStyle="1" w:styleId="NogaZnak">
    <w:name w:val="Noga Znak"/>
    <w:basedOn w:val="Privzetapisavaodstavka"/>
    <w:link w:val="Noga"/>
    <w:uiPriority w:val="99"/>
    <w:rsid w:val="002057F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3347">
      <w:bodyDiv w:val="1"/>
      <w:marLeft w:val="0"/>
      <w:marRight w:val="0"/>
      <w:marTop w:val="0"/>
      <w:marBottom w:val="0"/>
      <w:divBdr>
        <w:top w:val="none" w:sz="0" w:space="0" w:color="auto"/>
        <w:left w:val="none" w:sz="0" w:space="0" w:color="auto"/>
        <w:bottom w:val="none" w:sz="0" w:space="0" w:color="auto"/>
        <w:right w:val="none" w:sz="0" w:space="0" w:color="auto"/>
      </w:divBdr>
    </w:div>
    <w:div w:id="1113788000">
      <w:bodyDiv w:val="1"/>
      <w:marLeft w:val="0"/>
      <w:marRight w:val="0"/>
      <w:marTop w:val="0"/>
      <w:marBottom w:val="0"/>
      <w:divBdr>
        <w:top w:val="none" w:sz="0" w:space="0" w:color="auto"/>
        <w:left w:val="none" w:sz="0" w:space="0" w:color="auto"/>
        <w:bottom w:val="none" w:sz="0" w:space="0" w:color="auto"/>
        <w:right w:val="none" w:sz="0" w:space="0" w:color="auto"/>
      </w:divBdr>
    </w:div>
    <w:div w:id="1434667297">
      <w:bodyDiv w:val="1"/>
      <w:marLeft w:val="0"/>
      <w:marRight w:val="0"/>
      <w:marTop w:val="0"/>
      <w:marBottom w:val="0"/>
      <w:divBdr>
        <w:top w:val="none" w:sz="0" w:space="0" w:color="auto"/>
        <w:left w:val="none" w:sz="0" w:space="0" w:color="auto"/>
        <w:bottom w:val="none" w:sz="0" w:space="0" w:color="auto"/>
        <w:right w:val="none" w:sz="0" w:space="0" w:color="auto"/>
      </w:divBdr>
    </w:div>
    <w:div w:id="15779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Mednarodni%20Finan&#269;ni%20Mehanizmi\STP\AA%20EEA%202009-2014\Obrazci_dopisi\dopis_ang_direktor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D12C-F3E5-4A6B-BD02-C3B7626B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dopis_ang_direktorat</Template>
  <TotalTime>0</TotalTime>
  <Pages>13</Pages>
  <Words>5316</Words>
  <Characters>30306</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Mojca Mehikić</dc:creator>
  <cp:lastModifiedBy>Silvija Jakopovič</cp:lastModifiedBy>
  <cp:revision>2</cp:revision>
  <cp:lastPrinted>2012-12-13T12:52:00Z</cp:lastPrinted>
  <dcterms:created xsi:type="dcterms:W3CDTF">2013-01-10T13:34:00Z</dcterms:created>
  <dcterms:modified xsi:type="dcterms:W3CDTF">2013-01-10T13:34:00Z</dcterms:modified>
</cp:coreProperties>
</file>