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A8" w:rsidRDefault="00C574A8" w:rsidP="00C574A8"/>
    <w:p w:rsidR="00AA66EC" w:rsidRDefault="00AA66EC" w:rsidP="00AA66EC">
      <w:pPr>
        <w:pStyle w:val="datumtevilka"/>
        <w:rPr>
          <w:rFonts w:ascii="Calibri" w:hAnsi="Calibri"/>
          <w:sz w:val="24"/>
          <w:szCs w:val="24"/>
        </w:rPr>
      </w:pPr>
    </w:p>
    <w:p w:rsidR="00AA66EC" w:rsidRPr="00AE4DDB" w:rsidRDefault="00AA66EC" w:rsidP="00AA66EC">
      <w:pPr>
        <w:pStyle w:val="datumtevilka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Številka: </w:t>
      </w:r>
      <w:r w:rsidR="00BF3BE1">
        <w:rPr>
          <w:rFonts w:ascii="Calibri" w:hAnsi="Calibri"/>
          <w:sz w:val="24"/>
          <w:szCs w:val="24"/>
        </w:rPr>
        <w:t xml:space="preserve"> </w:t>
      </w:r>
      <w:r w:rsidR="00C62592">
        <w:rPr>
          <w:rFonts w:ascii="Calibri" w:hAnsi="Calibri"/>
          <w:sz w:val="24"/>
          <w:szCs w:val="24"/>
        </w:rPr>
        <w:t>544-26/2013/1</w:t>
      </w:r>
    </w:p>
    <w:p w:rsidR="00AA66EC" w:rsidRPr="00AE4DDB" w:rsidRDefault="00C62592" w:rsidP="00AA66EC">
      <w:pPr>
        <w:pStyle w:val="datumtevilka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Datum:  10</w:t>
      </w:r>
      <w:r w:rsidR="00AA66EC">
        <w:rPr>
          <w:rFonts w:ascii="Calibri" w:hAnsi="Calibri"/>
          <w:sz w:val="24"/>
          <w:szCs w:val="24"/>
        </w:rPr>
        <w:t xml:space="preserve">.6.2013 </w:t>
      </w:r>
      <w:r w:rsidR="00AA66EC" w:rsidRPr="00AE4DDB">
        <w:rPr>
          <w:rFonts w:ascii="Calibri" w:hAnsi="Calibri"/>
          <w:sz w:val="24"/>
          <w:szCs w:val="24"/>
        </w:rPr>
        <w:t xml:space="preserve"> </w:t>
      </w:r>
    </w:p>
    <w:p w:rsidR="00AA66EC" w:rsidRPr="00AE4DDB" w:rsidRDefault="00AA66EC" w:rsidP="00AA66EC">
      <w:pPr>
        <w:rPr>
          <w:rFonts w:ascii="Calibri" w:hAnsi="Calibri"/>
          <w:sz w:val="24"/>
          <w:lang w:val="sl-SI"/>
        </w:rPr>
      </w:pPr>
    </w:p>
    <w:p w:rsidR="00AA66EC" w:rsidRDefault="00AA66EC" w:rsidP="00AA66EC">
      <w:pPr>
        <w:pStyle w:val="ZADEVA"/>
        <w:rPr>
          <w:rFonts w:ascii="Calibri" w:hAnsi="Calibri"/>
          <w:sz w:val="24"/>
          <w:lang w:val="sl-SI"/>
        </w:rPr>
      </w:pPr>
    </w:p>
    <w:p w:rsidR="00AA66EC" w:rsidRDefault="00AA66EC" w:rsidP="00AA66EC">
      <w:pPr>
        <w:pStyle w:val="ZADEVA"/>
        <w:rPr>
          <w:rFonts w:ascii="Calibri" w:hAnsi="Calibri"/>
          <w:sz w:val="24"/>
          <w:lang w:val="sl-SI"/>
        </w:rPr>
      </w:pPr>
    </w:p>
    <w:p w:rsidR="00AA66EC" w:rsidRDefault="00AA66EC" w:rsidP="00AA66EC">
      <w:pPr>
        <w:pStyle w:val="ZADEVA"/>
        <w:ind w:left="0" w:firstLine="0"/>
        <w:jc w:val="center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 xml:space="preserve">INTERNO NAVODILO ZA PREDSTAVNIKE IZ DRŽAV DONATORIC, </w:t>
      </w:r>
    </w:p>
    <w:p w:rsidR="00AA66EC" w:rsidRDefault="00AA66EC" w:rsidP="00AA66EC">
      <w:pPr>
        <w:pStyle w:val="ZADEVA"/>
        <w:ind w:left="0" w:firstLine="0"/>
        <w:jc w:val="center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 xml:space="preserve">ki sodelujejo na </w:t>
      </w:r>
    </w:p>
    <w:p w:rsidR="00AA66EC" w:rsidRDefault="00AA66EC" w:rsidP="00AA66EC">
      <w:pPr>
        <w:pStyle w:val="ZADEVA"/>
        <w:ind w:left="0" w:firstLine="0"/>
        <w:jc w:val="center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>Finančnem mehanizmu EGP in Norveškem finančnem mehanizmu 2009-2014</w:t>
      </w:r>
    </w:p>
    <w:p w:rsidR="00AA66EC" w:rsidRDefault="00AA66EC" w:rsidP="00AA66EC">
      <w:pPr>
        <w:pStyle w:val="Telobesedila21"/>
        <w:tabs>
          <w:tab w:val="left" w:pos="3750"/>
        </w:tabs>
        <w:spacing w:line="240" w:lineRule="auto"/>
        <w:rPr>
          <w:rFonts w:ascii="Calibri" w:hAnsi="Calibri" w:cs="Arial"/>
          <w:sz w:val="24"/>
          <w:szCs w:val="24"/>
        </w:rPr>
      </w:pPr>
    </w:p>
    <w:p w:rsidR="00AA66EC" w:rsidRDefault="00AA66EC" w:rsidP="00AA66EC">
      <w:pPr>
        <w:pStyle w:val="Telobesedila21"/>
        <w:numPr>
          <w:ilvl w:val="0"/>
          <w:numId w:val="12"/>
        </w:numPr>
        <w:tabs>
          <w:tab w:val="left" w:pos="3750"/>
        </w:tabs>
        <w:spacing w:line="240" w:lineRule="auto"/>
        <w:rPr>
          <w:rFonts w:ascii="Calibri" w:hAnsi="Calibri"/>
          <w:sz w:val="24"/>
          <w:szCs w:val="24"/>
          <w:lang w:eastAsia="en-US"/>
        </w:rPr>
      </w:pPr>
      <w:r w:rsidRPr="00EE16D6">
        <w:rPr>
          <w:rFonts w:ascii="Calibri" w:hAnsi="Calibri"/>
          <w:sz w:val="24"/>
          <w:szCs w:val="24"/>
          <w:lang w:eastAsia="en-US"/>
        </w:rPr>
        <w:t xml:space="preserve">Ta pravilnik </w:t>
      </w:r>
      <w:r>
        <w:rPr>
          <w:rFonts w:ascii="Calibri" w:hAnsi="Calibri"/>
          <w:sz w:val="24"/>
          <w:szCs w:val="24"/>
          <w:lang w:eastAsia="en-US"/>
        </w:rPr>
        <w:t>ureja povračilo</w:t>
      </w:r>
      <w:r w:rsidRPr="00EE16D6">
        <w:rPr>
          <w:rFonts w:ascii="Calibri" w:hAnsi="Calibri"/>
          <w:sz w:val="24"/>
          <w:szCs w:val="24"/>
          <w:lang w:eastAsia="en-US"/>
        </w:rPr>
        <w:t xml:space="preserve"> potnih stroškov </w:t>
      </w:r>
      <w:r>
        <w:rPr>
          <w:rFonts w:ascii="Calibri" w:hAnsi="Calibri"/>
          <w:sz w:val="24"/>
          <w:szCs w:val="24"/>
          <w:lang w:eastAsia="en-US"/>
        </w:rPr>
        <w:t xml:space="preserve">predstavnikov držav donatoric Finančnega mehanizma EGP in Norveškega finančnega mehanizma 2009-2014. </w:t>
      </w:r>
    </w:p>
    <w:p w:rsidR="00AA66EC" w:rsidRPr="00843670" w:rsidRDefault="00AA66EC" w:rsidP="00AA66EC">
      <w:pPr>
        <w:pStyle w:val="Telobesedila21"/>
        <w:tabs>
          <w:tab w:val="left" w:pos="3750"/>
        </w:tabs>
        <w:spacing w:line="240" w:lineRule="auto"/>
        <w:rPr>
          <w:rFonts w:ascii="Calibri" w:hAnsi="Calibri"/>
          <w:sz w:val="24"/>
          <w:szCs w:val="24"/>
          <w:lang w:eastAsia="en-US"/>
        </w:rPr>
      </w:pPr>
    </w:p>
    <w:p w:rsidR="00AA66EC" w:rsidRPr="00664CBF" w:rsidRDefault="00AA66EC" w:rsidP="00AA66EC">
      <w:pPr>
        <w:pStyle w:val="Telobesedila21"/>
        <w:numPr>
          <w:ilvl w:val="0"/>
          <w:numId w:val="12"/>
        </w:numPr>
        <w:tabs>
          <w:tab w:val="left" w:pos="3750"/>
        </w:tabs>
        <w:spacing w:line="240" w:lineRule="auto"/>
        <w:rPr>
          <w:rFonts w:ascii="Calibri" w:hAnsi="Calibri" w:cs="Arial"/>
          <w:sz w:val="24"/>
          <w:szCs w:val="24"/>
        </w:rPr>
      </w:pPr>
      <w:r w:rsidRPr="00B14A19">
        <w:rPr>
          <w:rFonts w:ascii="Calibri" w:hAnsi="Calibri"/>
          <w:sz w:val="24"/>
          <w:szCs w:val="24"/>
          <w:lang w:eastAsia="en-US"/>
        </w:rPr>
        <w:t xml:space="preserve">MGRT je v okviru Finančnega mehanizma EGP in Norveškega finančnega mehanizma 2009-2014 pristojen za izvedbo programa Finančnega mehanizma EGP in programa Norveškega finančnega mehanizma obdobje 2009-2014. Del finančnih sredstev je namenjen </w:t>
      </w:r>
      <w:r>
        <w:rPr>
          <w:rFonts w:ascii="Calibri" w:hAnsi="Calibri" w:cs="Calibri"/>
          <w:szCs w:val="22"/>
        </w:rPr>
        <w:t xml:space="preserve">namenjajo za upravljanje in dvostranske odnose na ravni programov. V okviru teh so predstavniki iz držav donatoric v celoti upravičeni do povračila stroškov službene poti, ki se udeležijo </w:t>
      </w:r>
      <w:r>
        <w:rPr>
          <w:rFonts w:ascii="Calibri" w:hAnsi="Calibri"/>
          <w:sz w:val="24"/>
          <w:szCs w:val="24"/>
          <w:lang w:eastAsia="en-US"/>
        </w:rPr>
        <w:t xml:space="preserve">slavnostnih dogodkov (otvoritveni dogodki, delavnice, zaključni dogodek, …), ki jih Ministrstvo za gospodarski razvoj in tehnologijo v vlogi nacionalne kontaktne točke organizira v Sloveniji na temo Finančnega mehanizma EGP in Norveškega finančnega mehanizma 2009-2014. </w:t>
      </w:r>
    </w:p>
    <w:p w:rsidR="00AA66EC" w:rsidRDefault="00AA66EC" w:rsidP="00AA66EC">
      <w:pPr>
        <w:pStyle w:val="Odstavekseznama"/>
        <w:rPr>
          <w:rFonts w:ascii="Calibri" w:hAnsi="Calibri" w:cs="Arial"/>
          <w:sz w:val="24"/>
        </w:rPr>
      </w:pPr>
    </w:p>
    <w:p w:rsidR="00AA66EC" w:rsidRPr="00664CBF" w:rsidRDefault="00AA66EC" w:rsidP="00AA66EC">
      <w:pPr>
        <w:pStyle w:val="Telobesedila21"/>
        <w:numPr>
          <w:ilvl w:val="0"/>
          <w:numId w:val="12"/>
        </w:numPr>
        <w:tabs>
          <w:tab w:val="left" w:pos="3750"/>
        </w:tabs>
        <w:spacing w:line="240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  <w:szCs w:val="24"/>
        </w:rPr>
        <w:t xml:space="preserve">Predstavnike </w:t>
      </w:r>
      <w:r w:rsidRPr="00E140D4">
        <w:rPr>
          <w:rFonts w:ascii="Calibri" w:hAnsi="Calibri" w:cs="Arial"/>
          <w:sz w:val="24"/>
          <w:szCs w:val="24"/>
        </w:rPr>
        <w:t xml:space="preserve">se napoti na podlagi sklepa, ki ga </w:t>
      </w:r>
      <w:r>
        <w:rPr>
          <w:rFonts w:ascii="Calibri" w:hAnsi="Calibri" w:cs="Arial"/>
          <w:sz w:val="24"/>
          <w:szCs w:val="24"/>
        </w:rPr>
        <w:t xml:space="preserve">izda MGRT in </w:t>
      </w:r>
      <w:r w:rsidRPr="00E140D4">
        <w:rPr>
          <w:rFonts w:ascii="Calibri" w:hAnsi="Calibri" w:cs="Arial"/>
          <w:sz w:val="24"/>
          <w:szCs w:val="24"/>
        </w:rPr>
        <w:t xml:space="preserve">podpiše generalni direktor Direktorata za regionalni razvoj in evropsko teritorialno sodelovanje. Primer sklepa je v prilogi internega navodila. Sklep se izda v slovenski in angleški različici. Prav tako se ga podpiše v obeh </w:t>
      </w:r>
      <w:r>
        <w:rPr>
          <w:rFonts w:ascii="Calibri" w:hAnsi="Calibri" w:cs="Arial"/>
          <w:sz w:val="24"/>
          <w:szCs w:val="24"/>
        </w:rPr>
        <w:t xml:space="preserve">različicah. </w:t>
      </w:r>
    </w:p>
    <w:p w:rsidR="00AA66EC" w:rsidRPr="00B14A19" w:rsidRDefault="00AA66EC" w:rsidP="00AA66EC">
      <w:pPr>
        <w:pStyle w:val="Telobesedila21"/>
        <w:tabs>
          <w:tab w:val="left" w:pos="3750"/>
        </w:tabs>
        <w:spacing w:line="240" w:lineRule="auto"/>
        <w:rPr>
          <w:rFonts w:ascii="Calibri" w:hAnsi="Calibri" w:cs="Arial"/>
          <w:sz w:val="24"/>
          <w:szCs w:val="24"/>
        </w:rPr>
      </w:pPr>
    </w:p>
    <w:p w:rsidR="00AA66EC" w:rsidRDefault="00AA66EC" w:rsidP="00AA66EC">
      <w:pPr>
        <w:pStyle w:val="Telobesedila21"/>
        <w:numPr>
          <w:ilvl w:val="0"/>
          <w:numId w:val="12"/>
        </w:numPr>
        <w:tabs>
          <w:tab w:val="left" w:pos="3750"/>
        </w:tabs>
        <w:spacing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Tuji uslužbenci sodelujejo pri izvedbi Finančnega mehanizma EGP in Norveškega finančnega mehanizma 2009-2014.  </w:t>
      </w:r>
    </w:p>
    <w:p w:rsidR="00AA66EC" w:rsidRDefault="00AA66EC" w:rsidP="00AA66EC">
      <w:pPr>
        <w:pStyle w:val="Telobesedila21"/>
        <w:tabs>
          <w:tab w:val="left" w:pos="3750"/>
        </w:tabs>
        <w:spacing w:line="240" w:lineRule="auto"/>
        <w:ind w:left="709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Tuji uslužbenci so lahko: </w:t>
      </w:r>
    </w:p>
    <w:p w:rsidR="00AA66EC" w:rsidRDefault="00AA66EC" w:rsidP="00AA66EC">
      <w:pPr>
        <w:pStyle w:val="Telobesedila21"/>
        <w:numPr>
          <w:ilvl w:val="1"/>
          <w:numId w:val="13"/>
        </w:numPr>
        <w:tabs>
          <w:tab w:val="left" w:pos="3750"/>
        </w:tabs>
        <w:spacing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predstavniki držav donatoric- Kraljevine Norveške, Kneževine Lihtenštajn in Republike Islandije, </w:t>
      </w:r>
    </w:p>
    <w:p w:rsidR="00AA66EC" w:rsidRDefault="00AA66EC" w:rsidP="00AA66EC">
      <w:pPr>
        <w:pStyle w:val="Telobesedila21"/>
        <w:numPr>
          <w:ilvl w:val="1"/>
          <w:numId w:val="13"/>
        </w:numPr>
        <w:tabs>
          <w:tab w:val="left" w:pos="3750"/>
        </w:tabs>
        <w:spacing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predstavniki Urada za finančni mehanizem, </w:t>
      </w:r>
    </w:p>
    <w:p w:rsidR="00AA66EC" w:rsidRDefault="00AA66EC" w:rsidP="00AA66EC">
      <w:pPr>
        <w:pStyle w:val="Telobesedila21"/>
        <w:numPr>
          <w:ilvl w:val="1"/>
          <w:numId w:val="13"/>
        </w:numPr>
        <w:tabs>
          <w:tab w:val="left" w:pos="3750"/>
        </w:tabs>
        <w:spacing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predstavniki Veleposlaništva Kraljevine Norveške.  </w:t>
      </w:r>
    </w:p>
    <w:p w:rsidR="00AA66EC" w:rsidRPr="003B09C6" w:rsidRDefault="00AA66EC" w:rsidP="00AA66EC">
      <w:pPr>
        <w:jc w:val="both"/>
        <w:rPr>
          <w:rFonts w:ascii="Calibri" w:hAnsi="Calibri"/>
          <w:sz w:val="24"/>
          <w:lang w:val="sl-SI"/>
        </w:rPr>
      </w:pPr>
    </w:p>
    <w:p w:rsidR="00AA66EC" w:rsidRDefault="00AA66EC" w:rsidP="00AA66EC">
      <w:pPr>
        <w:pStyle w:val="Odstavekseznama"/>
        <w:numPr>
          <w:ilvl w:val="0"/>
          <w:numId w:val="12"/>
        </w:numPr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 xml:space="preserve">Finančna sredstva so zagotovljena v finančnem planu Finančnega mehanizma EGP in v finančnem planu Norveškega finančnega mehanizma 2009-2014. In sicer na aktivnostih </w:t>
      </w:r>
      <w:r>
        <w:rPr>
          <w:rFonts w:ascii="Arial Narrow" w:hAnsi="Arial Narrow"/>
          <w:sz w:val="24"/>
          <w:lang w:val="sl-SI"/>
        </w:rPr>
        <w:t>"</w:t>
      </w:r>
      <w:r>
        <w:rPr>
          <w:rFonts w:ascii="Calibri" w:hAnsi="Calibri"/>
          <w:sz w:val="24"/>
          <w:lang w:val="sl-SI"/>
        </w:rPr>
        <w:t>Stroški upravljanja- promocijske aktivnosti</w:t>
      </w:r>
      <w:r w:rsidRPr="00181281">
        <w:rPr>
          <w:rFonts w:ascii="Calibri" w:hAnsi="Calibri"/>
          <w:sz w:val="24"/>
          <w:lang w:val="sl-SI"/>
        </w:rPr>
        <w:t>"</w:t>
      </w:r>
      <w:r>
        <w:rPr>
          <w:rFonts w:ascii="Calibri" w:hAnsi="Calibri"/>
          <w:sz w:val="24"/>
          <w:lang w:val="sl-SI"/>
        </w:rPr>
        <w:t xml:space="preserve">, </w:t>
      </w:r>
      <w:r w:rsidRPr="00181281">
        <w:rPr>
          <w:rFonts w:ascii="Calibri" w:hAnsi="Calibri"/>
          <w:sz w:val="24"/>
          <w:lang w:val="sl-SI"/>
        </w:rPr>
        <w:t>"Dvostranski odnosi"</w:t>
      </w:r>
      <w:r>
        <w:rPr>
          <w:rFonts w:ascii="Calibri" w:hAnsi="Calibri"/>
          <w:sz w:val="24"/>
          <w:lang w:val="sl-SI"/>
        </w:rPr>
        <w:t xml:space="preserve"> in </w:t>
      </w:r>
      <w:r w:rsidRPr="00181281">
        <w:rPr>
          <w:rFonts w:ascii="Calibri" w:hAnsi="Calibri"/>
          <w:sz w:val="24"/>
          <w:lang w:val="sl-SI"/>
        </w:rPr>
        <w:t>"</w:t>
      </w:r>
      <w:r>
        <w:rPr>
          <w:rFonts w:ascii="Calibri" w:hAnsi="Calibri"/>
          <w:sz w:val="24"/>
          <w:lang w:val="sl-SI"/>
        </w:rPr>
        <w:t>Dopolnilni ukrepi</w:t>
      </w:r>
      <w:r w:rsidRPr="00181281">
        <w:rPr>
          <w:rFonts w:ascii="Calibri" w:hAnsi="Calibri"/>
          <w:sz w:val="24"/>
          <w:lang w:val="sl-SI"/>
        </w:rPr>
        <w:t>"</w:t>
      </w:r>
      <w:r>
        <w:rPr>
          <w:rFonts w:ascii="Calibri" w:hAnsi="Calibri"/>
          <w:sz w:val="24"/>
          <w:lang w:val="sl-SI"/>
        </w:rPr>
        <w:t xml:space="preserve">. </w:t>
      </w:r>
    </w:p>
    <w:p w:rsidR="00AA66EC" w:rsidRPr="003B09C6" w:rsidRDefault="00AA66EC" w:rsidP="00AA66EC">
      <w:pPr>
        <w:pStyle w:val="Odstavekseznama"/>
        <w:jc w:val="both"/>
        <w:rPr>
          <w:rFonts w:ascii="Calibri" w:hAnsi="Calibri"/>
          <w:sz w:val="24"/>
          <w:lang w:val="sl-SI"/>
        </w:rPr>
      </w:pPr>
      <w:r w:rsidRPr="003B09C6">
        <w:rPr>
          <w:rFonts w:ascii="Calibri" w:hAnsi="Calibri"/>
          <w:sz w:val="24"/>
          <w:lang w:val="sl-SI"/>
        </w:rPr>
        <w:lastRenderedPageBreak/>
        <w:t xml:space="preserve">Strošek udeležbe </w:t>
      </w:r>
      <w:r>
        <w:rPr>
          <w:rFonts w:ascii="Calibri" w:hAnsi="Calibri"/>
          <w:sz w:val="24"/>
          <w:lang w:val="sl-SI"/>
        </w:rPr>
        <w:t xml:space="preserve">posameznega </w:t>
      </w:r>
      <w:r w:rsidRPr="003B09C6">
        <w:rPr>
          <w:rFonts w:ascii="Calibri" w:hAnsi="Calibri"/>
          <w:sz w:val="24"/>
          <w:lang w:val="sl-SI"/>
        </w:rPr>
        <w:t>dogodka v celoti krije MGRT. Finančna sredstva so zagotovljena na proračunski</w:t>
      </w:r>
      <w:r>
        <w:rPr>
          <w:rFonts w:ascii="Calibri" w:hAnsi="Calibri"/>
          <w:sz w:val="24"/>
          <w:lang w:val="sl-SI"/>
        </w:rPr>
        <w:t>h postavkah</w:t>
      </w:r>
      <w:r w:rsidRPr="003B09C6">
        <w:rPr>
          <w:rFonts w:ascii="Calibri" w:hAnsi="Calibri"/>
          <w:sz w:val="24"/>
          <w:lang w:val="sl-SI"/>
        </w:rPr>
        <w:t xml:space="preserve">:  </w:t>
      </w:r>
    </w:p>
    <w:p w:rsidR="00AA66EC" w:rsidRPr="003B09C6" w:rsidRDefault="00AA66EC" w:rsidP="00AA66EC">
      <w:pPr>
        <w:pStyle w:val="Odstavekseznama"/>
        <w:numPr>
          <w:ilvl w:val="0"/>
          <w:numId w:val="15"/>
        </w:numPr>
        <w:ind w:left="1418"/>
        <w:jc w:val="both"/>
        <w:rPr>
          <w:rFonts w:ascii="Calibri" w:hAnsi="Calibri"/>
          <w:sz w:val="24"/>
          <w:lang w:val="sl-SI"/>
        </w:rPr>
      </w:pPr>
      <w:r w:rsidRPr="003B09C6">
        <w:rPr>
          <w:rFonts w:ascii="Calibri" w:hAnsi="Calibri"/>
          <w:sz w:val="24"/>
          <w:lang w:val="sl-SI"/>
        </w:rPr>
        <w:t>PP 9777 – NOR in EGP FM 09-14 – slovenska udeležba</w:t>
      </w:r>
    </w:p>
    <w:p w:rsidR="00AA66EC" w:rsidRPr="003B09C6" w:rsidRDefault="00AA66EC" w:rsidP="00AA66EC">
      <w:pPr>
        <w:pStyle w:val="Odstavekseznama"/>
        <w:numPr>
          <w:ilvl w:val="0"/>
          <w:numId w:val="15"/>
        </w:numPr>
        <w:ind w:left="1418"/>
        <w:jc w:val="both"/>
        <w:rPr>
          <w:rFonts w:ascii="Calibri" w:hAnsi="Calibri"/>
          <w:sz w:val="24"/>
          <w:lang w:val="sl-SI"/>
        </w:rPr>
      </w:pPr>
      <w:r w:rsidRPr="003B09C6">
        <w:rPr>
          <w:rFonts w:ascii="Calibri" w:hAnsi="Calibri"/>
          <w:sz w:val="24"/>
          <w:lang w:val="sl-SI"/>
        </w:rPr>
        <w:t>PP 9778 – NOR FM 09-14 – Norveški finančni mehanizem</w:t>
      </w:r>
    </w:p>
    <w:p w:rsidR="00AA66EC" w:rsidRDefault="00AA66EC" w:rsidP="00AA66EC">
      <w:pPr>
        <w:pStyle w:val="Odstavekseznama"/>
        <w:numPr>
          <w:ilvl w:val="0"/>
          <w:numId w:val="15"/>
        </w:numPr>
        <w:ind w:left="1418"/>
        <w:jc w:val="both"/>
        <w:rPr>
          <w:rFonts w:ascii="Calibri" w:hAnsi="Calibri"/>
          <w:sz w:val="24"/>
          <w:lang w:val="sl-SI"/>
        </w:rPr>
      </w:pPr>
      <w:r w:rsidRPr="003B09C6">
        <w:rPr>
          <w:rFonts w:ascii="Calibri" w:hAnsi="Calibri"/>
          <w:sz w:val="24"/>
          <w:lang w:val="sl-SI"/>
        </w:rPr>
        <w:t>PP 9779 – EGP FM 09-14 – Finančni mehanizem EGP</w:t>
      </w:r>
    </w:p>
    <w:p w:rsidR="00AA66EC" w:rsidRPr="00181281" w:rsidRDefault="00AA66EC" w:rsidP="00AA66EC">
      <w:pPr>
        <w:pStyle w:val="Odstavekseznama"/>
        <w:ind w:left="1418"/>
        <w:jc w:val="both"/>
        <w:rPr>
          <w:rFonts w:ascii="Calibri" w:hAnsi="Calibri"/>
          <w:sz w:val="24"/>
          <w:lang w:val="sl-SI"/>
        </w:rPr>
      </w:pPr>
    </w:p>
    <w:p w:rsidR="00AA66EC" w:rsidRPr="00181281" w:rsidRDefault="00AA66EC" w:rsidP="00AA66EC">
      <w:pPr>
        <w:pStyle w:val="Telobesedila21"/>
        <w:numPr>
          <w:ilvl w:val="0"/>
          <w:numId w:val="12"/>
        </w:numPr>
        <w:tabs>
          <w:tab w:val="left" w:pos="3750"/>
        </w:tabs>
        <w:spacing w:line="240" w:lineRule="auto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Tuji uslužbenci so upravičeni do povračila stroškov, ki nastanejo na službenem potovanju v Republiko Slovenijo. </w:t>
      </w:r>
      <w:r w:rsidRPr="00181281">
        <w:rPr>
          <w:rFonts w:ascii="Calibri" w:hAnsi="Calibri"/>
          <w:sz w:val="24"/>
          <w:szCs w:val="24"/>
          <w:lang w:eastAsia="en-US"/>
        </w:rPr>
        <w:t xml:space="preserve">Med </w:t>
      </w:r>
      <w:r>
        <w:rPr>
          <w:rFonts w:ascii="Calibri" w:hAnsi="Calibri"/>
          <w:sz w:val="24"/>
          <w:szCs w:val="24"/>
          <w:lang w:eastAsia="en-US"/>
        </w:rPr>
        <w:t xml:space="preserve">te </w:t>
      </w:r>
      <w:r w:rsidRPr="00181281">
        <w:rPr>
          <w:rFonts w:ascii="Calibri" w:hAnsi="Calibri"/>
          <w:sz w:val="24"/>
          <w:szCs w:val="24"/>
          <w:lang w:eastAsia="en-US"/>
        </w:rPr>
        <w:t xml:space="preserve">potne stroške uvrščamo: </w:t>
      </w:r>
    </w:p>
    <w:p w:rsidR="00AA66EC" w:rsidRDefault="00AA66EC" w:rsidP="00AA66EC">
      <w:pPr>
        <w:pStyle w:val="Telobesedila21"/>
        <w:numPr>
          <w:ilvl w:val="0"/>
          <w:numId w:val="14"/>
        </w:numPr>
        <w:tabs>
          <w:tab w:val="left" w:pos="3750"/>
        </w:tabs>
        <w:spacing w:line="240" w:lineRule="auto"/>
        <w:ind w:left="1434" w:hanging="357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strošek rezervacije in strošek hotelske namestitve</w:t>
      </w:r>
    </w:p>
    <w:p w:rsidR="00AA66EC" w:rsidRDefault="00AA66EC" w:rsidP="00AA66EC">
      <w:pPr>
        <w:pStyle w:val="Telobesedila21"/>
        <w:numPr>
          <w:ilvl w:val="0"/>
          <w:numId w:val="14"/>
        </w:numPr>
        <w:tabs>
          <w:tab w:val="left" w:pos="3750"/>
        </w:tabs>
        <w:spacing w:line="240" w:lineRule="auto"/>
        <w:ind w:left="1434" w:hanging="357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strošek javne</w:t>
      </w:r>
      <w:r w:rsidR="006C456E">
        <w:rPr>
          <w:rFonts w:ascii="Calibri" w:hAnsi="Calibri"/>
          <w:sz w:val="24"/>
          <w:szCs w:val="24"/>
          <w:lang w:eastAsia="en-US"/>
        </w:rPr>
        <w:t>ga prevoza (letalski prevoz, taksi prevoz</w:t>
      </w:r>
      <w:bookmarkStart w:id="0" w:name="_GoBack"/>
      <w:bookmarkEnd w:id="0"/>
      <w:r>
        <w:rPr>
          <w:rFonts w:ascii="Calibri" w:hAnsi="Calibri"/>
          <w:sz w:val="24"/>
          <w:szCs w:val="24"/>
          <w:lang w:eastAsia="en-US"/>
        </w:rPr>
        <w:t xml:space="preserve">, avtobus)  </w:t>
      </w:r>
    </w:p>
    <w:p w:rsidR="00AA66EC" w:rsidRDefault="00AA66EC" w:rsidP="00AA66EC">
      <w:pPr>
        <w:pStyle w:val="Telobesedila21"/>
        <w:numPr>
          <w:ilvl w:val="0"/>
          <w:numId w:val="14"/>
        </w:numPr>
        <w:tabs>
          <w:tab w:val="left" w:pos="3750"/>
        </w:tabs>
        <w:spacing w:line="240" w:lineRule="auto"/>
        <w:ind w:left="1434" w:hanging="357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strošek potnega naloga </w:t>
      </w:r>
    </w:p>
    <w:p w:rsidR="00AA66EC" w:rsidRPr="00181281" w:rsidRDefault="00AA66EC" w:rsidP="00AA66EC">
      <w:pPr>
        <w:pStyle w:val="Telobesedila21"/>
        <w:tabs>
          <w:tab w:val="left" w:pos="3750"/>
        </w:tabs>
        <w:spacing w:line="240" w:lineRule="auto"/>
        <w:ind w:left="1434"/>
        <w:rPr>
          <w:rFonts w:ascii="Calibri" w:hAnsi="Calibri"/>
          <w:sz w:val="24"/>
          <w:szCs w:val="24"/>
          <w:lang w:eastAsia="en-US"/>
        </w:rPr>
      </w:pPr>
    </w:p>
    <w:p w:rsidR="00AA66EC" w:rsidRDefault="00AA66EC" w:rsidP="00AA66EC">
      <w:pPr>
        <w:pStyle w:val="Odstavekseznama"/>
        <w:numPr>
          <w:ilvl w:val="0"/>
          <w:numId w:val="12"/>
        </w:numPr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 xml:space="preserve">Organizacija v sklopu katere je tuji uslužbenec zaposlen uredi celotno potovanje (rezervacija hotela, letalskih kart,… ). Naročilo za nakup letalskih kart ter prevoza organizacija izvede v skladu s svojimi pravili in zakonodajo, ki velja v državi. Potni nalog izda in podpiše organizacija, kateri pripada tuji uslužbenec. </w:t>
      </w:r>
    </w:p>
    <w:p w:rsidR="00AA66EC" w:rsidRPr="00353B82" w:rsidRDefault="00AA66EC" w:rsidP="00AA66EC">
      <w:pPr>
        <w:pStyle w:val="Odstavekseznama"/>
        <w:rPr>
          <w:rFonts w:ascii="Calibri" w:hAnsi="Calibri"/>
          <w:sz w:val="24"/>
          <w:lang w:val="sl-SI"/>
        </w:rPr>
      </w:pPr>
    </w:p>
    <w:p w:rsidR="00AA66EC" w:rsidRDefault="00AA66EC" w:rsidP="00AA66EC">
      <w:pPr>
        <w:pStyle w:val="Odstavekseznama"/>
        <w:numPr>
          <w:ilvl w:val="0"/>
          <w:numId w:val="12"/>
        </w:numPr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 xml:space="preserve">Po opravljeni službeni poti, tuji uslužbenec posreduje kontaktni osebi programa Finančnega mehanizma EGP / Norveškega finančnega mehanizma 2009-2014 v čim možnem krajšem času sledečo dokumentacijo: </w:t>
      </w:r>
    </w:p>
    <w:p w:rsidR="00AA66EC" w:rsidRDefault="00AA66EC" w:rsidP="00AA66EC">
      <w:pPr>
        <w:pStyle w:val="Odstavekseznama"/>
        <w:numPr>
          <w:ilvl w:val="0"/>
          <w:numId w:val="11"/>
        </w:numPr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 xml:space="preserve">Zahtevek za povračilo finančnih sredstev (obrazec v prilogi), </w:t>
      </w:r>
    </w:p>
    <w:p w:rsidR="00AA66EC" w:rsidRDefault="00AA66EC" w:rsidP="00AA66EC">
      <w:pPr>
        <w:pStyle w:val="Odstavekseznama"/>
        <w:numPr>
          <w:ilvl w:val="0"/>
          <w:numId w:val="11"/>
        </w:numPr>
        <w:jc w:val="both"/>
        <w:rPr>
          <w:rFonts w:ascii="Calibri" w:hAnsi="Calibri"/>
          <w:sz w:val="24"/>
          <w:lang w:val="sl-SI"/>
        </w:rPr>
      </w:pPr>
      <w:r w:rsidRPr="002D02C3">
        <w:rPr>
          <w:rFonts w:ascii="Calibri" w:hAnsi="Calibri"/>
          <w:sz w:val="24"/>
          <w:lang w:val="sl-SI"/>
        </w:rPr>
        <w:t xml:space="preserve">Zaključen in obračunan potni nalog, </w:t>
      </w:r>
    </w:p>
    <w:p w:rsidR="00AA66EC" w:rsidRDefault="00AA66EC" w:rsidP="00AA66EC">
      <w:pPr>
        <w:pStyle w:val="Odstavekseznama"/>
        <w:numPr>
          <w:ilvl w:val="0"/>
          <w:numId w:val="11"/>
        </w:numPr>
        <w:jc w:val="both"/>
        <w:rPr>
          <w:rFonts w:ascii="Calibri" w:hAnsi="Calibri"/>
          <w:sz w:val="24"/>
          <w:lang w:val="sl-SI"/>
        </w:rPr>
      </w:pPr>
      <w:r w:rsidRPr="002D02C3">
        <w:rPr>
          <w:rFonts w:ascii="Calibri" w:hAnsi="Calibri"/>
          <w:sz w:val="24"/>
          <w:lang w:val="sl-SI"/>
        </w:rPr>
        <w:t xml:space="preserve">Specifikacijo stroškov službene poti (obrazec v prilogi), z </w:t>
      </w:r>
      <w:r>
        <w:rPr>
          <w:rFonts w:ascii="Calibri" w:hAnsi="Calibri"/>
          <w:sz w:val="24"/>
          <w:lang w:val="sl-SI"/>
        </w:rPr>
        <w:t xml:space="preserve">vsemi </w:t>
      </w:r>
      <w:r w:rsidRPr="002D02C3">
        <w:rPr>
          <w:rFonts w:ascii="Calibri" w:hAnsi="Calibri"/>
          <w:sz w:val="24"/>
          <w:lang w:val="sl-SI"/>
        </w:rPr>
        <w:t>originalnimi računi.</w:t>
      </w:r>
    </w:p>
    <w:p w:rsidR="00AA66EC" w:rsidRDefault="00AA66EC" w:rsidP="00AA66EC">
      <w:pPr>
        <w:pStyle w:val="Odstavekseznama"/>
        <w:ind w:left="2221"/>
        <w:jc w:val="both"/>
        <w:rPr>
          <w:rFonts w:ascii="Calibri" w:hAnsi="Calibri"/>
          <w:sz w:val="24"/>
          <w:lang w:val="sl-SI"/>
        </w:rPr>
      </w:pPr>
    </w:p>
    <w:p w:rsidR="00AA66EC" w:rsidRDefault="00AA66EC" w:rsidP="00AA66EC">
      <w:pPr>
        <w:ind w:left="709"/>
        <w:jc w:val="both"/>
        <w:rPr>
          <w:rFonts w:ascii="Calibri" w:hAnsi="Calibri"/>
          <w:sz w:val="24"/>
          <w:lang w:val="sl-SI"/>
        </w:rPr>
      </w:pPr>
      <w:r w:rsidRPr="009730E7">
        <w:rPr>
          <w:rFonts w:ascii="Calibri" w:hAnsi="Calibri"/>
          <w:sz w:val="24"/>
          <w:lang w:val="sl-SI"/>
        </w:rPr>
        <w:t>Dokumentacijo se lahko posreduje po elektronski pošti</w:t>
      </w:r>
      <w:r>
        <w:rPr>
          <w:rFonts w:ascii="Calibri" w:hAnsi="Calibri"/>
          <w:sz w:val="24"/>
          <w:lang w:val="sl-SI"/>
        </w:rPr>
        <w:t xml:space="preserve"> v skenirani različici</w:t>
      </w:r>
      <w:r w:rsidRPr="009730E7">
        <w:rPr>
          <w:rFonts w:ascii="Calibri" w:hAnsi="Calibri"/>
          <w:sz w:val="24"/>
          <w:lang w:val="sl-SI"/>
        </w:rPr>
        <w:t xml:space="preserve"> ali po navadni pošti. </w:t>
      </w:r>
    </w:p>
    <w:p w:rsidR="00AA66EC" w:rsidRPr="009730E7" w:rsidRDefault="00AA66EC" w:rsidP="00AA66EC">
      <w:pPr>
        <w:ind w:left="709"/>
        <w:jc w:val="both"/>
        <w:rPr>
          <w:rFonts w:ascii="Calibri" w:hAnsi="Calibri"/>
          <w:sz w:val="24"/>
          <w:lang w:val="sl-SI"/>
        </w:rPr>
      </w:pPr>
    </w:p>
    <w:p w:rsidR="00AA66EC" w:rsidRDefault="00AA66EC" w:rsidP="00AA66EC">
      <w:pPr>
        <w:pStyle w:val="Telobesedila21"/>
        <w:numPr>
          <w:ilvl w:val="0"/>
          <w:numId w:val="12"/>
        </w:numPr>
        <w:tabs>
          <w:tab w:val="left" w:pos="3750"/>
        </w:tabs>
        <w:spacing w:line="240" w:lineRule="auto"/>
        <w:rPr>
          <w:rFonts w:ascii="Calibri" w:hAnsi="Calibri" w:cs="Arial"/>
          <w:sz w:val="24"/>
          <w:szCs w:val="24"/>
        </w:rPr>
      </w:pPr>
      <w:r w:rsidRPr="00664CBF">
        <w:rPr>
          <w:rFonts w:ascii="Calibri" w:hAnsi="Calibri"/>
          <w:sz w:val="24"/>
        </w:rPr>
        <w:t xml:space="preserve">Po prejemu dokumentacije, kontaktna oseba programa Finančnega mehanizma EGP in programa Norveškega finančnega mehanizma 2009-2014, pregleda ali so vsi obrazci izpolnjeni in vse priloge priložene. Celotno dokumentacijo posreduje s tekočim </w:t>
      </w:r>
      <w:r>
        <w:rPr>
          <w:rFonts w:ascii="Calibri" w:hAnsi="Calibri"/>
          <w:sz w:val="24"/>
        </w:rPr>
        <w:t xml:space="preserve">vmesnim finančnim poročilom </w:t>
      </w:r>
      <w:r w:rsidRPr="00664CBF">
        <w:rPr>
          <w:rFonts w:ascii="Calibri" w:hAnsi="Calibri"/>
          <w:sz w:val="24"/>
        </w:rPr>
        <w:t xml:space="preserve">kontrolorju NOR in EGP v potrditev. </w:t>
      </w:r>
    </w:p>
    <w:p w:rsidR="00AA66EC" w:rsidRDefault="00AA66EC" w:rsidP="00AA66EC">
      <w:pPr>
        <w:pStyle w:val="Telobesedila21"/>
        <w:tabs>
          <w:tab w:val="left" w:pos="3750"/>
        </w:tabs>
        <w:spacing w:line="240" w:lineRule="auto"/>
        <w:ind w:left="720"/>
        <w:rPr>
          <w:rFonts w:ascii="Calibri" w:hAnsi="Calibri" w:cs="Arial"/>
          <w:sz w:val="24"/>
          <w:szCs w:val="24"/>
        </w:rPr>
      </w:pPr>
    </w:p>
    <w:p w:rsidR="00AA66EC" w:rsidRPr="00E140D4" w:rsidRDefault="00AA66EC" w:rsidP="00AA66EC">
      <w:pPr>
        <w:pStyle w:val="Telobesedila21"/>
        <w:numPr>
          <w:ilvl w:val="0"/>
          <w:numId w:val="12"/>
        </w:numPr>
        <w:tabs>
          <w:tab w:val="left" w:pos="3750"/>
        </w:tabs>
        <w:spacing w:line="240" w:lineRule="auto"/>
        <w:rPr>
          <w:rFonts w:ascii="Calibri" w:hAnsi="Calibri" w:cs="Arial"/>
          <w:sz w:val="24"/>
        </w:rPr>
      </w:pPr>
      <w:r w:rsidRPr="00E140D4">
        <w:rPr>
          <w:rFonts w:ascii="Calibri" w:hAnsi="Calibri" w:cs="Arial"/>
          <w:sz w:val="24"/>
          <w:szCs w:val="24"/>
        </w:rPr>
        <w:t xml:space="preserve">Tujega udeleženca ali skupino tujih udeležencev se napoti na podlagi sklepa, ki ga podpiše generalni direktor Direktorata za regionalni razvoj in evropsko teritorialno sodelovanje. Primer sklepa je v prilogi internega navodila. Sklep se izda v slovenski in angleški različici. Prav tako se ga podpiše v obeh </w:t>
      </w:r>
      <w:r>
        <w:rPr>
          <w:rFonts w:ascii="Calibri" w:hAnsi="Calibri" w:cs="Arial"/>
          <w:sz w:val="24"/>
          <w:szCs w:val="24"/>
        </w:rPr>
        <w:t xml:space="preserve">različicah. </w:t>
      </w:r>
    </w:p>
    <w:p w:rsidR="00AA66EC" w:rsidRDefault="00AA66EC" w:rsidP="00AA66EC">
      <w:pPr>
        <w:jc w:val="both"/>
        <w:rPr>
          <w:rFonts w:ascii="Calibri" w:hAnsi="Calibri"/>
          <w:sz w:val="24"/>
          <w:lang w:val="sl-SI"/>
        </w:rPr>
      </w:pPr>
    </w:p>
    <w:p w:rsidR="00C62592" w:rsidRDefault="00C62592" w:rsidP="00AA66EC">
      <w:pPr>
        <w:jc w:val="both"/>
        <w:rPr>
          <w:rFonts w:ascii="Calibri" w:hAnsi="Calibri"/>
          <w:sz w:val="24"/>
          <w:lang w:val="sl-SI"/>
        </w:rPr>
      </w:pPr>
    </w:p>
    <w:p w:rsidR="00C62592" w:rsidRDefault="00C62592" w:rsidP="00AA66EC">
      <w:pPr>
        <w:jc w:val="both"/>
        <w:rPr>
          <w:rFonts w:ascii="Calibri" w:hAnsi="Calibri"/>
          <w:sz w:val="24"/>
          <w:lang w:val="sl-SI"/>
        </w:rPr>
      </w:pPr>
    </w:p>
    <w:p w:rsidR="00C62592" w:rsidRDefault="00C62592" w:rsidP="00AA66EC">
      <w:pPr>
        <w:jc w:val="both"/>
        <w:rPr>
          <w:rFonts w:ascii="Calibri" w:hAnsi="Calibri"/>
          <w:sz w:val="24"/>
          <w:lang w:val="sl-SI"/>
        </w:rPr>
      </w:pPr>
    </w:p>
    <w:p w:rsidR="00C62592" w:rsidRPr="00C62592" w:rsidRDefault="00C62592" w:rsidP="00C62592">
      <w:pPr>
        <w:pStyle w:val="Telobesedila21"/>
        <w:tabs>
          <w:tab w:val="left" w:pos="3750"/>
        </w:tabs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</w:t>
      </w:r>
      <w:r w:rsidRPr="00C62592">
        <w:rPr>
          <w:rFonts w:ascii="Calibri" w:hAnsi="Calibri" w:cs="Calibri"/>
          <w:b/>
          <w:sz w:val="24"/>
          <w:szCs w:val="24"/>
        </w:rPr>
        <w:t>Marko Drofenik</w:t>
      </w:r>
    </w:p>
    <w:p w:rsidR="00C62592" w:rsidRPr="00C62592" w:rsidRDefault="00C62592" w:rsidP="00C62592">
      <w:pPr>
        <w:pStyle w:val="Telobesedila21"/>
        <w:tabs>
          <w:tab w:val="left" w:pos="3750"/>
        </w:tabs>
        <w:spacing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C62592">
        <w:rPr>
          <w:rFonts w:ascii="Calibri" w:hAnsi="Calibri" w:cs="Calibri"/>
          <w:b/>
          <w:sz w:val="24"/>
          <w:szCs w:val="24"/>
        </w:rPr>
        <w:t xml:space="preserve">                                                         Generalni direktor Direktorata za regionalni razvoj  </w:t>
      </w:r>
    </w:p>
    <w:p w:rsidR="00C62592" w:rsidRPr="00C62592" w:rsidRDefault="00C62592" w:rsidP="00C62592">
      <w:pPr>
        <w:pStyle w:val="Telobesedila21"/>
        <w:tabs>
          <w:tab w:val="left" w:pos="3750"/>
        </w:tabs>
        <w:spacing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C62592">
        <w:rPr>
          <w:rFonts w:ascii="Calibri" w:hAnsi="Calibri" w:cs="Calibri"/>
          <w:b/>
          <w:sz w:val="24"/>
          <w:szCs w:val="24"/>
        </w:rPr>
        <w:t>in evropsko teritorialno sodelovanje</w:t>
      </w:r>
    </w:p>
    <w:p w:rsidR="00AA66EC" w:rsidRDefault="00AA66EC" w:rsidP="00C62592">
      <w:pPr>
        <w:jc w:val="right"/>
        <w:rPr>
          <w:rFonts w:ascii="Calibri" w:hAnsi="Calibri"/>
          <w:sz w:val="24"/>
          <w:lang w:val="sl-SI"/>
        </w:rPr>
      </w:pPr>
    </w:p>
    <w:p w:rsidR="00AA66EC" w:rsidRPr="00C62592" w:rsidRDefault="00AA66EC" w:rsidP="00C62592">
      <w:pPr>
        <w:pStyle w:val="ZADEVA"/>
        <w:ind w:left="0" w:firstLine="0"/>
        <w:jc w:val="right"/>
        <w:rPr>
          <w:rFonts w:ascii="Calibri" w:hAnsi="Calibri"/>
          <w:b w:val="0"/>
          <w:sz w:val="24"/>
          <w:lang w:val="sl-SI"/>
        </w:rPr>
      </w:pPr>
      <w:r w:rsidRPr="00C62592">
        <w:rPr>
          <w:rFonts w:ascii="Calibri" w:hAnsi="Calibri"/>
          <w:b w:val="0"/>
          <w:sz w:val="24"/>
          <w:lang w:val="sl-SI"/>
        </w:rPr>
        <w:t xml:space="preserve">       </w:t>
      </w:r>
    </w:p>
    <w:p w:rsidR="00AA66EC" w:rsidRPr="00C62592" w:rsidRDefault="00AA66EC" w:rsidP="00AA66EC">
      <w:pPr>
        <w:rPr>
          <w:rFonts w:ascii="Calibri" w:hAnsi="Calibri"/>
          <w:sz w:val="24"/>
          <w:lang w:val="sl-SI"/>
        </w:rPr>
      </w:pPr>
      <w:r w:rsidRPr="00C62592">
        <w:rPr>
          <w:rFonts w:ascii="Calibri" w:hAnsi="Calibri"/>
          <w:sz w:val="24"/>
          <w:lang w:val="sl-SI"/>
        </w:rPr>
        <w:t xml:space="preserve">Priloge: </w:t>
      </w:r>
    </w:p>
    <w:p w:rsidR="00AA66EC" w:rsidRPr="00C62592" w:rsidRDefault="00AA66EC" w:rsidP="00AA66EC">
      <w:pPr>
        <w:rPr>
          <w:rFonts w:ascii="Calibri" w:hAnsi="Calibri"/>
          <w:sz w:val="24"/>
          <w:lang w:val="sl-SI"/>
        </w:rPr>
      </w:pPr>
      <w:r w:rsidRPr="00C62592">
        <w:rPr>
          <w:rFonts w:ascii="Calibri" w:hAnsi="Calibri"/>
          <w:sz w:val="24"/>
          <w:lang w:val="sl-SI"/>
        </w:rPr>
        <w:t xml:space="preserve">- Sklep o napotitvi predstavnikov </w:t>
      </w:r>
    </w:p>
    <w:p w:rsidR="00AA66EC" w:rsidRPr="00C62592" w:rsidRDefault="00AA66EC" w:rsidP="00AA66EC">
      <w:pPr>
        <w:rPr>
          <w:rFonts w:ascii="Calibri" w:hAnsi="Calibri"/>
          <w:sz w:val="24"/>
          <w:lang w:val="sl-SI"/>
        </w:rPr>
      </w:pPr>
      <w:r w:rsidRPr="00C62592">
        <w:rPr>
          <w:rFonts w:ascii="Calibri" w:hAnsi="Calibri"/>
          <w:sz w:val="24"/>
          <w:lang w:val="sl-SI"/>
        </w:rPr>
        <w:t xml:space="preserve">- Zahtevek za povračilo finančnih sredstev </w:t>
      </w:r>
    </w:p>
    <w:p w:rsidR="007E6DC5" w:rsidRPr="00AE4DDB" w:rsidRDefault="00AA66EC" w:rsidP="007D75CF">
      <w:pPr>
        <w:rPr>
          <w:rFonts w:ascii="Calibri" w:hAnsi="Calibri"/>
          <w:sz w:val="24"/>
          <w:lang w:val="sl-SI"/>
        </w:rPr>
      </w:pPr>
      <w:r w:rsidRPr="00C62592">
        <w:rPr>
          <w:rFonts w:ascii="Calibri" w:hAnsi="Calibri"/>
          <w:sz w:val="24"/>
          <w:lang w:val="sl-SI"/>
        </w:rPr>
        <w:t>- Specifik</w:t>
      </w:r>
      <w:r w:rsidR="006C456E">
        <w:rPr>
          <w:rFonts w:ascii="Calibri" w:hAnsi="Calibri"/>
          <w:sz w:val="24"/>
          <w:lang w:val="sl-SI"/>
        </w:rPr>
        <w:t>acija</w:t>
      </w:r>
    </w:p>
    <w:sectPr w:rsidR="007E6DC5" w:rsidRPr="00AE4DDB" w:rsidSect="0018361F">
      <w:headerReference w:type="default" r:id="rId8"/>
      <w:headerReference w:type="first" r:id="rId9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DE" w:rsidRDefault="006C46DE">
      <w:r>
        <w:separator/>
      </w:r>
    </w:p>
  </w:endnote>
  <w:endnote w:type="continuationSeparator" w:id="0">
    <w:p w:rsidR="006C46DE" w:rsidRDefault="006C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DE" w:rsidRDefault="006C46DE">
      <w:r>
        <w:separator/>
      </w:r>
    </w:p>
  </w:footnote>
  <w:footnote w:type="continuationSeparator" w:id="0">
    <w:p w:rsidR="006C46DE" w:rsidRDefault="006C4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5F" w:rsidRPr="008F3500" w:rsidRDefault="004F175F" w:rsidP="004F175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228FF" w:rsidRPr="008F3500">
      <w:trPr>
        <w:cantSplit/>
        <w:trHeight w:hRule="exact" w:val="847"/>
      </w:trPr>
      <w:tc>
        <w:tcPr>
          <w:tcW w:w="567" w:type="dxa"/>
        </w:tcPr>
        <w:p w:rsidR="003228FF" w:rsidRPr="008F3500" w:rsidRDefault="007F087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228FF" w:rsidRDefault="00BF3BE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4232468</wp:posOffset>
          </wp:positionH>
          <wp:positionV relativeFrom="paragraph">
            <wp:posOffset>-634931</wp:posOffset>
          </wp:positionV>
          <wp:extent cx="1125855" cy="105981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3049798</wp:posOffset>
          </wp:positionH>
          <wp:positionV relativeFrom="paragraph">
            <wp:posOffset>-704407</wp:posOffset>
          </wp:positionV>
          <wp:extent cx="1125855" cy="112585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75F"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-1125855</wp:posOffset>
          </wp:positionV>
          <wp:extent cx="3917315" cy="1607185"/>
          <wp:effectExtent l="19050" t="0" r="6985" b="0"/>
          <wp:wrapNone/>
          <wp:docPr id="40" name="Slika 40" descr="Sektor za mednarodne finančne mehaniz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ektor za mednarodne finančne mehanizm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160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28FF" w:rsidRDefault="003228F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228FF" w:rsidRPr="008F3500" w:rsidRDefault="003228F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58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 w:rsidRPr="00A647F0">
      <w:rPr>
        <w:rFonts w:cs="Arial"/>
        <w:sz w:val="16"/>
        <w:lang w:val="sl-SI"/>
      </w:rPr>
      <w:t>01 32 01 418</w:t>
    </w:r>
  </w:p>
  <w:p w:rsidR="003228FF" w:rsidRPr="008F3500" w:rsidRDefault="003228F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>F</w:t>
    </w:r>
    <w:r w:rsidRPr="00A647F0">
      <w:rPr>
        <w:rFonts w:cs="Arial"/>
        <w:sz w:val="16"/>
        <w:lang w:val="sl-SI"/>
      </w:rPr>
      <w:t>: 01 32 01 301</w:t>
    </w:r>
  </w:p>
  <w:p w:rsidR="003228FF" w:rsidRPr="008F3500" w:rsidRDefault="003228F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gp.svlr@gov.si</w:t>
    </w:r>
  </w:p>
  <w:p w:rsidR="003228FF" w:rsidRPr="008F3500" w:rsidRDefault="003228F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www.svlr.gov.si</w:t>
    </w:r>
  </w:p>
  <w:p w:rsidR="003228FF" w:rsidRPr="008F3500" w:rsidRDefault="003228F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93C"/>
    <w:multiLevelType w:val="hybridMultilevel"/>
    <w:tmpl w:val="D91A7C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F0145"/>
    <w:multiLevelType w:val="hybridMultilevel"/>
    <w:tmpl w:val="F18C0F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49F4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0AA0"/>
    <w:multiLevelType w:val="hybridMultilevel"/>
    <w:tmpl w:val="AD9CAC0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CA25E9"/>
    <w:multiLevelType w:val="hybridMultilevel"/>
    <w:tmpl w:val="196C913C"/>
    <w:lvl w:ilvl="0" w:tplc="F21221BC">
      <w:numFmt w:val="bullet"/>
      <w:lvlText w:val="-"/>
      <w:lvlJc w:val="left"/>
      <w:pPr>
        <w:ind w:left="2221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6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D6313"/>
    <w:multiLevelType w:val="hybridMultilevel"/>
    <w:tmpl w:val="C012EBD0"/>
    <w:lvl w:ilvl="0" w:tplc="9500B94E">
      <w:start w:val="92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561ED"/>
    <w:multiLevelType w:val="hybridMultilevel"/>
    <w:tmpl w:val="124C47A6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E8D1D46"/>
    <w:multiLevelType w:val="hybridMultilevel"/>
    <w:tmpl w:val="AC40C884"/>
    <w:lvl w:ilvl="0" w:tplc="F2122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25050"/>
    <w:multiLevelType w:val="hybridMultilevel"/>
    <w:tmpl w:val="AA4CD19C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66E6532B"/>
    <w:multiLevelType w:val="hybridMultilevel"/>
    <w:tmpl w:val="7F36DD08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D3815B7"/>
    <w:multiLevelType w:val="hybridMultilevel"/>
    <w:tmpl w:val="77AC5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3"/>
  </w:num>
  <w:num w:numId="13">
    <w:abstractNumId w:val="14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8">
      <o:colormru v:ext="edit" colors="#428299,#529dba"/>
      <o:colormenu v:ext="edit" strokecolor="#529dba"/>
    </o:shapedefaults>
    <o:shapelayout v:ext="edit">
      <o:rules v:ext="edit">
        <o:r id="V:Rule2" type="connector" idref="#AutoShape 1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03"/>
    <w:rsid w:val="00023A88"/>
    <w:rsid w:val="00046BB7"/>
    <w:rsid w:val="00073189"/>
    <w:rsid w:val="00074F68"/>
    <w:rsid w:val="000A09A4"/>
    <w:rsid w:val="000A7238"/>
    <w:rsid w:val="000C77E6"/>
    <w:rsid w:val="00110920"/>
    <w:rsid w:val="00115303"/>
    <w:rsid w:val="00122A82"/>
    <w:rsid w:val="001357B2"/>
    <w:rsid w:val="001411CF"/>
    <w:rsid w:val="0017478F"/>
    <w:rsid w:val="0018361F"/>
    <w:rsid w:val="001977DA"/>
    <w:rsid w:val="001A518C"/>
    <w:rsid w:val="001A54FE"/>
    <w:rsid w:val="001E6604"/>
    <w:rsid w:val="00202A77"/>
    <w:rsid w:val="002210DD"/>
    <w:rsid w:val="002560ED"/>
    <w:rsid w:val="00271CE5"/>
    <w:rsid w:val="00282020"/>
    <w:rsid w:val="002A2B69"/>
    <w:rsid w:val="002C275F"/>
    <w:rsid w:val="002F7B71"/>
    <w:rsid w:val="00306ADE"/>
    <w:rsid w:val="00311F7B"/>
    <w:rsid w:val="00314037"/>
    <w:rsid w:val="003228FF"/>
    <w:rsid w:val="00325B1F"/>
    <w:rsid w:val="003636BF"/>
    <w:rsid w:val="00371442"/>
    <w:rsid w:val="003807D8"/>
    <w:rsid w:val="003844F6"/>
    <w:rsid w:val="003845B4"/>
    <w:rsid w:val="00387B1A"/>
    <w:rsid w:val="00396BF4"/>
    <w:rsid w:val="003C241A"/>
    <w:rsid w:val="003C5EE5"/>
    <w:rsid w:val="003E1C74"/>
    <w:rsid w:val="00430B09"/>
    <w:rsid w:val="0044096C"/>
    <w:rsid w:val="0044439F"/>
    <w:rsid w:val="004657EE"/>
    <w:rsid w:val="004B698A"/>
    <w:rsid w:val="004C12FE"/>
    <w:rsid w:val="004F175F"/>
    <w:rsid w:val="004F634D"/>
    <w:rsid w:val="00526246"/>
    <w:rsid w:val="00554636"/>
    <w:rsid w:val="00567106"/>
    <w:rsid w:val="0058451B"/>
    <w:rsid w:val="005D33E6"/>
    <w:rsid w:val="005E1D3C"/>
    <w:rsid w:val="00603D54"/>
    <w:rsid w:val="0062037C"/>
    <w:rsid w:val="00625AE6"/>
    <w:rsid w:val="00626D46"/>
    <w:rsid w:val="00632253"/>
    <w:rsid w:val="00642714"/>
    <w:rsid w:val="00644B1A"/>
    <w:rsid w:val="006455CE"/>
    <w:rsid w:val="00653756"/>
    <w:rsid w:val="00655841"/>
    <w:rsid w:val="006570ED"/>
    <w:rsid w:val="00657CE4"/>
    <w:rsid w:val="00661778"/>
    <w:rsid w:val="00662827"/>
    <w:rsid w:val="006C456E"/>
    <w:rsid w:val="006C46DE"/>
    <w:rsid w:val="006D17AD"/>
    <w:rsid w:val="006D7830"/>
    <w:rsid w:val="006F60A7"/>
    <w:rsid w:val="00733017"/>
    <w:rsid w:val="00753222"/>
    <w:rsid w:val="00777C60"/>
    <w:rsid w:val="00783310"/>
    <w:rsid w:val="007874DC"/>
    <w:rsid w:val="007A4A6D"/>
    <w:rsid w:val="007D1BCF"/>
    <w:rsid w:val="007D4E6D"/>
    <w:rsid w:val="007D75CF"/>
    <w:rsid w:val="007E0440"/>
    <w:rsid w:val="007E0985"/>
    <w:rsid w:val="007E3875"/>
    <w:rsid w:val="007E4E1B"/>
    <w:rsid w:val="007E6DC5"/>
    <w:rsid w:val="007F0877"/>
    <w:rsid w:val="0083293D"/>
    <w:rsid w:val="00873048"/>
    <w:rsid w:val="0088043C"/>
    <w:rsid w:val="0088266B"/>
    <w:rsid w:val="00884889"/>
    <w:rsid w:val="008906C9"/>
    <w:rsid w:val="008B2C12"/>
    <w:rsid w:val="008C5738"/>
    <w:rsid w:val="008D04F0"/>
    <w:rsid w:val="008D1526"/>
    <w:rsid w:val="008D1B82"/>
    <w:rsid w:val="008F1948"/>
    <w:rsid w:val="008F3500"/>
    <w:rsid w:val="00904B39"/>
    <w:rsid w:val="009110A0"/>
    <w:rsid w:val="00924E3C"/>
    <w:rsid w:val="009612BB"/>
    <w:rsid w:val="0097623C"/>
    <w:rsid w:val="00992EFF"/>
    <w:rsid w:val="009C740A"/>
    <w:rsid w:val="00A0393C"/>
    <w:rsid w:val="00A125C5"/>
    <w:rsid w:val="00A2451C"/>
    <w:rsid w:val="00A60A61"/>
    <w:rsid w:val="00A647F0"/>
    <w:rsid w:val="00A65EE7"/>
    <w:rsid w:val="00A70133"/>
    <w:rsid w:val="00A770A6"/>
    <w:rsid w:val="00A813B1"/>
    <w:rsid w:val="00AA66EC"/>
    <w:rsid w:val="00AB36C4"/>
    <w:rsid w:val="00AC32B2"/>
    <w:rsid w:val="00AE2DCE"/>
    <w:rsid w:val="00AE4DDB"/>
    <w:rsid w:val="00AF6447"/>
    <w:rsid w:val="00B17141"/>
    <w:rsid w:val="00B31575"/>
    <w:rsid w:val="00B8547D"/>
    <w:rsid w:val="00B87282"/>
    <w:rsid w:val="00BC7ECB"/>
    <w:rsid w:val="00BD2748"/>
    <w:rsid w:val="00BF3BE1"/>
    <w:rsid w:val="00C250D5"/>
    <w:rsid w:val="00C35666"/>
    <w:rsid w:val="00C426B3"/>
    <w:rsid w:val="00C546A1"/>
    <w:rsid w:val="00C574A8"/>
    <w:rsid w:val="00C605DD"/>
    <w:rsid w:val="00C62592"/>
    <w:rsid w:val="00C92898"/>
    <w:rsid w:val="00CA4340"/>
    <w:rsid w:val="00CB53A3"/>
    <w:rsid w:val="00CE5238"/>
    <w:rsid w:val="00CE7514"/>
    <w:rsid w:val="00D248DE"/>
    <w:rsid w:val="00D2694E"/>
    <w:rsid w:val="00D843DC"/>
    <w:rsid w:val="00D8542D"/>
    <w:rsid w:val="00DC6A71"/>
    <w:rsid w:val="00E0357D"/>
    <w:rsid w:val="00E44A3C"/>
    <w:rsid w:val="00E556AC"/>
    <w:rsid w:val="00E663B5"/>
    <w:rsid w:val="00EA1FFB"/>
    <w:rsid w:val="00ED1C3E"/>
    <w:rsid w:val="00F240BB"/>
    <w:rsid w:val="00F57FED"/>
    <w:rsid w:val="00F617D0"/>
    <w:rsid w:val="00F76152"/>
    <w:rsid w:val="00FB29A5"/>
    <w:rsid w:val="00FE123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AE4DDB"/>
    <w:pPr>
      <w:spacing w:line="240" w:lineRule="auto"/>
    </w:pPr>
    <w:rPr>
      <w:rFonts w:ascii="Tahoma" w:hAnsi="Tahoma" w:cs="Tahoma"/>
      <w:b/>
      <w:bCs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AE4DDB"/>
    <w:rPr>
      <w:rFonts w:ascii="Tahoma" w:hAnsi="Tahoma" w:cs="Tahoma"/>
      <w:b/>
      <w:bCs/>
    </w:rPr>
  </w:style>
  <w:style w:type="paragraph" w:styleId="Telobesedila3">
    <w:name w:val="Body Text 3"/>
    <w:basedOn w:val="Navaden"/>
    <w:link w:val="Telobesedila3Znak"/>
    <w:rsid w:val="00AE4DDB"/>
    <w:pPr>
      <w:spacing w:line="240" w:lineRule="auto"/>
      <w:jc w:val="both"/>
    </w:pPr>
    <w:rPr>
      <w:rFonts w:ascii="Tahoma" w:hAnsi="Tahoma" w:cs="Tahoma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AE4DDB"/>
    <w:rPr>
      <w:rFonts w:ascii="Tahoma" w:hAnsi="Tahoma" w:cs="Tahoma"/>
    </w:rPr>
  </w:style>
  <w:style w:type="paragraph" w:customStyle="1" w:styleId="Telobesedila21">
    <w:name w:val="Telo besedila 21"/>
    <w:basedOn w:val="Navaden"/>
    <w:rsid w:val="00AE4DDB"/>
    <w:pPr>
      <w:spacing w:line="313" w:lineRule="atLeast"/>
      <w:jc w:val="both"/>
    </w:pPr>
    <w:rPr>
      <w:rFonts w:ascii="Tahoma" w:hAnsi="Tahoma"/>
      <w:sz w:val="22"/>
      <w:szCs w:val="20"/>
      <w:lang w:val="sl-SI" w:eastAsia="sl-SI"/>
    </w:rPr>
  </w:style>
  <w:style w:type="character" w:styleId="Krepko">
    <w:name w:val="Strong"/>
    <w:basedOn w:val="Privzetapisavaodstavka"/>
    <w:uiPriority w:val="22"/>
    <w:qFormat/>
    <w:rsid w:val="00E44A3C"/>
    <w:rPr>
      <w:b/>
      <w:bCs/>
    </w:rPr>
  </w:style>
  <w:style w:type="paragraph" w:styleId="Odstavekseznama">
    <w:name w:val="List Paragraph"/>
    <w:basedOn w:val="Navaden"/>
    <w:uiPriority w:val="34"/>
    <w:qFormat/>
    <w:rsid w:val="007D4E6D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1836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8361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AE4DDB"/>
    <w:pPr>
      <w:spacing w:line="240" w:lineRule="auto"/>
    </w:pPr>
    <w:rPr>
      <w:rFonts w:ascii="Tahoma" w:hAnsi="Tahoma" w:cs="Tahoma"/>
      <w:b/>
      <w:bCs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AE4DDB"/>
    <w:rPr>
      <w:rFonts w:ascii="Tahoma" w:hAnsi="Tahoma" w:cs="Tahoma"/>
      <w:b/>
      <w:bCs/>
    </w:rPr>
  </w:style>
  <w:style w:type="paragraph" w:styleId="Telobesedila3">
    <w:name w:val="Body Text 3"/>
    <w:basedOn w:val="Navaden"/>
    <w:link w:val="Telobesedila3Znak"/>
    <w:rsid w:val="00AE4DDB"/>
    <w:pPr>
      <w:spacing w:line="240" w:lineRule="auto"/>
      <w:jc w:val="both"/>
    </w:pPr>
    <w:rPr>
      <w:rFonts w:ascii="Tahoma" w:hAnsi="Tahoma" w:cs="Tahoma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AE4DDB"/>
    <w:rPr>
      <w:rFonts w:ascii="Tahoma" w:hAnsi="Tahoma" w:cs="Tahoma"/>
    </w:rPr>
  </w:style>
  <w:style w:type="paragraph" w:customStyle="1" w:styleId="Telobesedila21">
    <w:name w:val="Telo besedila 21"/>
    <w:basedOn w:val="Navaden"/>
    <w:rsid w:val="00AE4DDB"/>
    <w:pPr>
      <w:spacing w:line="313" w:lineRule="atLeast"/>
      <w:jc w:val="both"/>
    </w:pPr>
    <w:rPr>
      <w:rFonts w:ascii="Tahoma" w:hAnsi="Tahoma"/>
      <w:sz w:val="22"/>
      <w:szCs w:val="20"/>
      <w:lang w:val="sl-SI" w:eastAsia="sl-SI"/>
    </w:rPr>
  </w:style>
  <w:style w:type="character" w:styleId="Krepko">
    <w:name w:val="Strong"/>
    <w:basedOn w:val="Privzetapisavaodstavka"/>
    <w:uiPriority w:val="22"/>
    <w:qFormat/>
    <w:rsid w:val="00E44A3C"/>
    <w:rPr>
      <w:b/>
      <w:bCs/>
    </w:rPr>
  </w:style>
  <w:style w:type="paragraph" w:styleId="Odstavekseznama">
    <w:name w:val="List Paragraph"/>
    <w:basedOn w:val="Navaden"/>
    <w:uiPriority w:val="34"/>
    <w:qFormat/>
    <w:rsid w:val="007D4E6D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1836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8361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omerzan\Desktop\Sektor%20za%20mednarodne%20finan&#269;ne%20mehanizm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 za mednarodne finančne mehanizme</Template>
  <TotalTime>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4273</CharactersWithSpaces>
  <SharedDoc>false</SharedDoc>
  <HLinks>
    <vt:vector size="18" baseType="variant">
      <vt:variant>
        <vt:i4>5963898</vt:i4>
      </vt:variant>
      <vt:variant>
        <vt:i4>10</vt:i4>
      </vt:variant>
      <vt:variant>
        <vt:i4>0</vt:i4>
      </vt:variant>
      <vt:variant>
        <vt:i4>5</vt:i4>
      </vt:variant>
      <vt:variant>
        <vt:lpwstr>mailto:robert.sircelj@mf-rs.si</vt:lpwstr>
      </vt:variant>
      <vt:variant>
        <vt:lpwstr/>
      </vt:variant>
      <vt:variant>
        <vt:i4>7471178</vt:i4>
      </vt:variant>
      <vt:variant>
        <vt:i4>7</vt:i4>
      </vt:variant>
      <vt:variant>
        <vt:i4>0</vt:i4>
      </vt:variant>
      <vt:variant>
        <vt:i4>5</vt:i4>
      </vt:variant>
      <vt:variant>
        <vt:lpwstr>mailto:peter.skofic@mf-rs.si</vt:lpwstr>
      </vt:variant>
      <vt:variant>
        <vt:lpwstr/>
      </vt:variant>
      <vt:variant>
        <vt:i4>5242976</vt:i4>
      </vt:variant>
      <vt:variant>
        <vt:i4>4</vt:i4>
      </vt:variant>
      <vt:variant>
        <vt:i4>0</vt:i4>
      </vt:variant>
      <vt:variant>
        <vt:i4>5</vt:i4>
      </vt:variant>
      <vt:variant>
        <vt:lpwstr>mailto:mateja.mahkove@mf-rs.si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Omerza</dc:creator>
  <cp:lastModifiedBy>Andreja Malik</cp:lastModifiedBy>
  <cp:revision>2</cp:revision>
  <cp:lastPrinted>2013-06-10T09:39:00Z</cp:lastPrinted>
  <dcterms:created xsi:type="dcterms:W3CDTF">2013-09-11T08:37:00Z</dcterms:created>
  <dcterms:modified xsi:type="dcterms:W3CDTF">2013-09-11T08:37:00Z</dcterms:modified>
</cp:coreProperties>
</file>